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8"/>
          <w:szCs w:val="28"/>
        </w:rPr>
      </w:pPr>
      <w:bookmarkStart w:colFirst="0" w:colLast="0" w:name="_heading=h.gjdgxs" w:id="0"/>
      <w:bookmarkEnd w:id="0"/>
      <w:r w:rsidDel="00000000" w:rsidR="00000000" w:rsidRPr="00000000">
        <w:rPr>
          <w:b w:val="1"/>
          <w:i w:val="1"/>
          <w:sz w:val="28"/>
          <w:szCs w:val="28"/>
          <w:rtl w:val="0"/>
        </w:rPr>
        <w:t xml:space="preserve">Eunotia paludosa </w:t>
      </w:r>
      <w:r w:rsidDel="00000000" w:rsidR="00000000" w:rsidRPr="00000000">
        <w:rPr>
          <w:b w:val="1"/>
          <w:sz w:val="28"/>
          <w:szCs w:val="28"/>
          <w:rtl w:val="0"/>
        </w:rPr>
        <w:t xml:space="preserve">Grunow 1862, p. 336, pl. 3, fig. 10</w:t>
      </w:r>
      <w:r w:rsidDel="00000000" w:rsidR="00000000" w:rsidRPr="00000000">
        <w:rPr>
          <w:rtl w:val="0"/>
        </w:rPr>
      </w:r>
    </w:p>
    <w:p w:rsidR="00000000" w:rsidDel="00000000" w:rsidP="00000000" w:rsidRDefault="00000000" w:rsidRPr="00000000" w14:paraId="00000002">
      <w:pPr>
        <w:rPr/>
      </w:pPr>
      <w:r w:rsidDel="00000000" w:rsidR="00000000" w:rsidRPr="00000000">
        <w:rPr>
          <w:b w:val="1"/>
          <w:i w:val="1"/>
          <w:rtl w:val="0"/>
        </w:rPr>
        <w:t xml:space="preserve">Synonyms: </w:t>
      </w:r>
      <w:r w:rsidDel="00000000" w:rsidR="00000000" w:rsidRPr="00000000">
        <w:rPr>
          <w:i w:val="1"/>
          <w:rtl w:val="0"/>
        </w:rPr>
        <w:t xml:space="preserve">Eunotia denticulata </w:t>
      </w:r>
      <w:r w:rsidDel="00000000" w:rsidR="00000000" w:rsidRPr="00000000">
        <w:rPr>
          <w:rtl w:val="0"/>
        </w:rPr>
        <w:t xml:space="preserve">var. </w:t>
      </w:r>
      <w:r w:rsidDel="00000000" w:rsidR="00000000" w:rsidRPr="00000000">
        <w:rPr>
          <w:i w:val="1"/>
          <w:rtl w:val="0"/>
        </w:rPr>
        <w:t xml:space="preserve">fennica </w:t>
      </w:r>
      <w:r w:rsidDel="00000000" w:rsidR="00000000" w:rsidRPr="00000000">
        <w:rPr>
          <w:rtl w:val="0"/>
        </w:rPr>
        <w:t xml:space="preserve">Hustedt (1932: 291), </w:t>
      </w:r>
      <w:r w:rsidDel="00000000" w:rsidR="00000000" w:rsidRPr="00000000">
        <w:rPr>
          <w:i w:val="1"/>
          <w:rtl w:val="0"/>
        </w:rPr>
        <w:t xml:space="preserve">Eunotia fennica </w:t>
      </w:r>
      <w:r w:rsidDel="00000000" w:rsidR="00000000" w:rsidRPr="00000000">
        <w:rPr>
          <w:rtl w:val="0"/>
        </w:rPr>
        <w:t xml:space="preserve">(Hustedt 1932: 291) Lange-Bertalot (in Werum &amp; Lange-Bertalot 2004: 152).</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pacing w:after="120" w:lineRule="auto"/>
        <w:rPr>
          <w:b w:val="1"/>
          <w:i w:val="1"/>
        </w:rPr>
      </w:pPr>
      <w:r w:rsidDel="00000000" w:rsidR="00000000" w:rsidRPr="00000000">
        <w:rPr>
          <w:b w:val="1"/>
          <w:i w:val="1"/>
          <w:rtl w:val="0"/>
        </w:rPr>
        <w:t xml:space="preserve">Morphology</w:t>
      </w:r>
    </w:p>
    <w:p w:rsidR="00000000" w:rsidDel="00000000" w:rsidP="00000000" w:rsidRDefault="00000000" w:rsidRPr="00000000" w14:paraId="00000005">
      <w:pPr>
        <w:spacing w:after="120" w:lineRule="auto"/>
        <w:rPr/>
      </w:pPr>
      <w:r w:rsidDel="00000000" w:rsidR="00000000" w:rsidRPr="00000000">
        <w:rPr>
          <w:rtl w:val="0"/>
        </w:rPr>
        <w:t xml:space="preserve">Girdle view narrowly rectangular with slightly concave margins. Dorsal margin parallel or slightly to more strongly convex. Ventral margin distinctly concave. Apices short-protracted and more or less reflexed to the dorsal side.</w:t>
      </w:r>
      <w:r w:rsidDel="00000000" w:rsidR="00000000" w:rsidRPr="00000000">
        <w:rPr>
          <w:rFonts w:ascii="Times New Roman" w:cs="Times New Roman" w:eastAsia="Times New Roman" w:hAnsi="Times New Roman"/>
          <w:color w:val="010202"/>
          <w:sz w:val="21"/>
          <w:szCs w:val="21"/>
          <w:rtl w:val="0"/>
        </w:rPr>
        <w:t xml:space="preserve"> </w:t>
      </w:r>
      <w:r w:rsidDel="00000000" w:rsidR="00000000" w:rsidRPr="00000000">
        <w:rPr>
          <w:rtl w:val="0"/>
        </w:rPr>
        <w:t xml:space="preserve">Terminal nodules close to the poles. Terminal raphe fissures in the valve face short. Striae almost parallel, equidistant throughout the entire valve. at the dorsal side of the mantle. Areolae difficult or not discernible in LM. Short spines on the dorsal side sometimes discernible, at least as tiny dark dots by focusing.</w:t>
      </w:r>
    </w:p>
    <w:p w:rsidR="00000000" w:rsidDel="00000000" w:rsidP="00000000" w:rsidRDefault="00000000" w:rsidRPr="00000000" w14:paraId="00000006">
      <w:pPr>
        <w:spacing w:after="120" w:lineRule="auto"/>
        <w:rPr>
          <w:b w:val="1"/>
          <w:i w:val="1"/>
        </w:rPr>
      </w:pPr>
      <w:r w:rsidDel="00000000" w:rsidR="00000000" w:rsidRPr="00000000">
        <w:rPr>
          <w:b w:val="1"/>
          <w:i w:val="1"/>
          <w:rtl w:val="0"/>
        </w:rPr>
        <w:t xml:space="preserve">Morphometrics</w:t>
      </w:r>
    </w:p>
    <w:tbl>
      <w:tblPr>
        <w:tblStyle w:val="Table1"/>
        <w:tblW w:w="829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06"/>
        <w:gridCol w:w="1263"/>
        <w:gridCol w:w="1106"/>
        <w:gridCol w:w="1164"/>
        <w:gridCol w:w="1251"/>
        <w:tblGridChange w:id="0">
          <w:tblGrid>
            <w:gridCol w:w="3506"/>
            <w:gridCol w:w="1263"/>
            <w:gridCol w:w="1106"/>
            <w:gridCol w:w="1164"/>
            <w:gridCol w:w="1251"/>
          </w:tblGrid>
        </w:tblGridChange>
      </w:tblGrid>
      <w:tr>
        <w:trPr>
          <w:cantSplit w:val="0"/>
          <w:tblHeader w:val="0"/>
        </w:trPr>
        <w:tc>
          <w:tcPr>
            <w:tcBorders>
              <w:bottom w:color="000000" w:space="0" w:sz="12" w:val="single"/>
            </w:tcBorders>
            <w:vAlign w:val="center"/>
          </w:tcPr>
          <w:p w:rsidR="00000000" w:rsidDel="00000000" w:rsidP="00000000" w:rsidRDefault="00000000" w:rsidRPr="00000000" w14:paraId="00000007">
            <w:pPr>
              <w:spacing w:after="120" w:lineRule="auto"/>
              <w:rPr/>
            </w:pPr>
            <w:r w:rsidDel="00000000" w:rsidR="00000000" w:rsidRPr="00000000">
              <w:rPr>
                <w:rtl w:val="0"/>
              </w:rPr>
              <w:t xml:space="preserve">Source</w:t>
            </w:r>
          </w:p>
        </w:tc>
        <w:tc>
          <w:tcPr>
            <w:tcBorders>
              <w:bottom w:color="000000" w:space="0" w:sz="12" w:val="single"/>
            </w:tcBorders>
          </w:tcPr>
          <w:p w:rsidR="00000000" w:rsidDel="00000000" w:rsidP="00000000" w:rsidRDefault="00000000" w:rsidRPr="00000000" w14:paraId="00000008">
            <w:pPr>
              <w:jc w:val="center"/>
              <w:rPr/>
            </w:pPr>
            <w:r w:rsidDel="00000000" w:rsidR="00000000" w:rsidRPr="00000000">
              <w:rPr>
                <w:rtl w:val="0"/>
              </w:rPr>
              <w:t xml:space="preserve">Length </w:t>
            </w:r>
            <w:r w:rsidDel="00000000" w:rsidR="00000000" w:rsidRPr="00000000">
              <w:rPr>
                <w:sz w:val="22"/>
                <w:szCs w:val="22"/>
                <w:rtl w:val="0"/>
              </w:rPr>
              <w:t xml:space="preserve">(µm)</w:t>
            </w:r>
            <w:r w:rsidDel="00000000" w:rsidR="00000000" w:rsidRPr="00000000">
              <w:rPr>
                <w:rtl w:val="0"/>
              </w:rPr>
            </w:r>
          </w:p>
        </w:tc>
        <w:tc>
          <w:tcPr>
            <w:tcBorders>
              <w:bottom w:color="000000" w:space="0" w:sz="12" w:val="single"/>
            </w:tcBorders>
          </w:tcPr>
          <w:p w:rsidR="00000000" w:rsidDel="00000000" w:rsidP="00000000" w:rsidRDefault="00000000" w:rsidRPr="00000000" w14:paraId="00000009">
            <w:pPr>
              <w:jc w:val="center"/>
              <w:rPr/>
            </w:pPr>
            <w:r w:rsidDel="00000000" w:rsidR="00000000" w:rsidRPr="00000000">
              <w:rPr>
                <w:rtl w:val="0"/>
              </w:rPr>
              <w:t xml:space="preserve">Width </w:t>
            </w:r>
            <w:r w:rsidDel="00000000" w:rsidR="00000000" w:rsidRPr="00000000">
              <w:rPr>
                <w:sz w:val="22"/>
                <w:szCs w:val="22"/>
                <w:rtl w:val="0"/>
              </w:rPr>
              <w:t xml:space="preserve">(µm)</w:t>
            </w:r>
            <w:r w:rsidDel="00000000" w:rsidR="00000000" w:rsidRPr="00000000">
              <w:rPr>
                <w:rtl w:val="0"/>
              </w:rPr>
            </w:r>
          </w:p>
        </w:tc>
        <w:tc>
          <w:tcPr>
            <w:tcBorders>
              <w:bottom w:color="000000" w:space="0" w:sz="12" w:val="single"/>
            </w:tcBorders>
          </w:tcPr>
          <w:p w:rsidR="00000000" w:rsidDel="00000000" w:rsidP="00000000" w:rsidRDefault="00000000" w:rsidRPr="00000000" w14:paraId="0000000A">
            <w:pPr>
              <w:jc w:val="center"/>
              <w:rPr/>
            </w:pPr>
            <w:r w:rsidDel="00000000" w:rsidR="00000000" w:rsidRPr="00000000">
              <w:rPr>
                <w:rtl w:val="0"/>
              </w:rPr>
              <w:t xml:space="preserve">Striae</w:t>
            </w:r>
          </w:p>
          <w:p w:rsidR="00000000" w:rsidDel="00000000" w:rsidP="00000000" w:rsidRDefault="00000000" w:rsidRPr="00000000" w14:paraId="0000000B">
            <w:pPr>
              <w:jc w:val="center"/>
              <w:rPr/>
            </w:pPr>
            <w:r w:rsidDel="00000000" w:rsidR="00000000" w:rsidRPr="00000000">
              <w:rPr>
                <w:sz w:val="22"/>
                <w:szCs w:val="22"/>
                <w:rtl w:val="0"/>
              </w:rPr>
              <w:t xml:space="preserve"> (in 10 µm)</w:t>
            </w:r>
            <w:r w:rsidDel="00000000" w:rsidR="00000000" w:rsidRPr="00000000">
              <w:rPr>
                <w:rtl w:val="0"/>
              </w:rPr>
            </w:r>
          </w:p>
        </w:tc>
        <w:tc>
          <w:tcPr>
            <w:tcBorders>
              <w:bottom w:color="000000" w:space="0" w:sz="12" w:val="single"/>
            </w:tcBorders>
          </w:tcPr>
          <w:p w:rsidR="00000000" w:rsidDel="00000000" w:rsidP="00000000" w:rsidRDefault="00000000" w:rsidRPr="00000000" w14:paraId="0000000C">
            <w:pPr>
              <w:jc w:val="center"/>
              <w:rPr/>
            </w:pPr>
            <w:r w:rsidDel="00000000" w:rsidR="00000000" w:rsidRPr="00000000">
              <w:rPr>
                <w:rtl w:val="0"/>
              </w:rPr>
              <w:t xml:space="preserve">Areolae</w:t>
            </w:r>
          </w:p>
          <w:p w:rsidR="00000000" w:rsidDel="00000000" w:rsidP="00000000" w:rsidRDefault="00000000" w:rsidRPr="00000000" w14:paraId="0000000D">
            <w:pPr>
              <w:jc w:val="center"/>
              <w:rPr/>
            </w:pPr>
            <w:r w:rsidDel="00000000" w:rsidR="00000000" w:rsidRPr="00000000">
              <w:rPr>
                <w:rtl w:val="0"/>
              </w:rPr>
              <w:t xml:space="preserve"> </w:t>
            </w:r>
            <w:r w:rsidDel="00000000" w:rsidR="00000000" w:rsidRPr="00000000">
              <w:rPr>
                <w:sz w:val="22"/>
                <w:szCs w:val="22"/>
                <w:rtl w:val="0"/>
              </w:rPr>
              <w:t xml:space="preserve">(in 10 µm)</w:t>
            </w:r>
            <w:r w:rsidDel="00000000" w:rsidR="00000000" w:rsidRPr="00000000">
              <w:rPr>
                <w:rtl w:val="0"/>
              </w:rPr>
            </w:r>
          </w:p>
        </w:tc>
      </w:tr>
      <w:tr>
        <w:trPr>
          <w:cantSplit w:val="0"/>
          <w:trHeight w:val="496" w:hRule="atLeast"/>
          <w:tblHeader w:val="0"/>
        </w:trPr>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0E">
            <w:pPr>
              <w:rPr/>
            </w:pPr>
            <w:r w:rsidDel="00000000" w:rsidR="00000000" w:rsidRPr="00000000">
              <w:rPr>
                <w:rtl w:val="0"/>
              </w:rPr>
              <w:t xml:space="preserve">Own data (n=21)</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00F">
            <w:pPr>
              <w:jc w:val="center"/>
              <w:rPr/>
            </w:pPr>
            <w:r w:rsidDel="00000000" w:rsidR="00000000" w:rsidRPr="00000000">
              <w:rPr>
                <w:rtl w:val="0"/>
              </w:rPr>
              <w:t xml:space="preserve">27.5-50.0</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010">
            <w:pPr>
              <w:jc w:val="center"/>
              <w:rPr/>
            </w:pPr>
            <w:r w:rsidDel="00000000" w:rsidR="00000000" w:rsidRPr="00000000">
              <w:rPr>
                <w:rtl w:val="0"/>
              </w:rPr>
              <w:t xml:space="preserve">3.7-4.7</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011">
            <w:pPr>
              <w:jc w:val="center"/>
              <w:rPr/>
            </w:pPr>
            <w:r w:rsidDel="00000000" w:rsidR="00000000" w:rsidRPr="00000000">
              <w:rPr>
                <w:rtl w:val="0"/>
              </w:rPr>
              <w:t xml:space="preserve">17.4-20.5</w:t>
            </w:r>
          </w:p>
        </w:tc>
        <w:tc>
          <w:tcPr>
            <w:tcBorders>
              <w:top w:color="000000" w:space="0" w:sz="12" w:val="single"/>
              <w:left w:color="000000" w:space="0" w:sz="12" w:val="single"/>
              <w:bottom w:color="000000" w:space="0" w:sz="12" w:val="single"/>
              <w:right w:color="000000" w:space="0" w:sz="12" w:val="single"/>
            </w:tcBorders>
            <w:shd w:fill="auto" w:val="clear"/>
            <w:vAlign w:val="center"/>
          </w:tcPr>
          <w:p w:rsidR="00000000" w:rsidDel="00000000" w:rsidP="00000000" w:rsidRDefault="00000000" w:rsidRPr="00000000" w14:paraId="00000012">
            <w:pPr>
              <w:jc w:val="center"/>
              <w:rPr/>
            </w:pPr>
            <w:r w:rsidDel="00000000" w:rsidR="00000000" w:rsidRPr="00000000">
              <w:rPr>
                <w:rtl w:val="0"/>
              </w:rPr>
            </w:r>
          </w:p>
        </w:tc>
      </w:tr>
      <w:tr>
        <w:trPr>
          <w:cantSplit w:val="0"/>
          <w:tblHeader w:val="0"/>
        </w:trPr>
        <w:tc>
          <w:tcPr>
            <w:tcBorders>
              <w:top w:color="000000" w:space="0" w:sz="12" w:val="single"/>
            </w:tcBorders>
            <w:vAlign w:val="center"/>
          </w:tcPr>
          <w:p w:rsidR="00000000" w:rsidDel="00000000" w:rsidP="00000000" w:rsidRDefault="00000000" w:rsidRPr="00000000" w14:paraId="00000013">
            <w:pPr>
              <w:rPr/>
            </w:pPr>
            <w:r w:rsidDel="00000000" w:rsidR="00000000" w:rsidRPr="00000000">
              <w:rPr>
                <w:rtl w:val="0"/>
              </w:rPr>
              <w:t xml:space="preserve">Van de Vijver et al. 2022</w:t>
            </w:r>
          </w:p>
        </w:tc>
        <w:tc>
          <w:tcPr>
            <w:tcBorders>
              <w:top w:color="000000" w:space="0" w:sz="12" w:val="single"/>
              <w:bottom w:color="000000" w:space="0" w:sz="4" w:val="single"/>
            </w:tcBorders>
            <w:shd w:fill="auto" w:val="clear"/>
            <w:vAlign w:val="center"/>
          </w:tcPr>
          <w:p w:rsidR="00000000" w:rsidDel="00000000" w:rsidP="00000000" w:rsidRDefault="00000000" w:rsidRPr="00000000" w14:paraId="00000014">
            <w:pPr>
              <w:jc w:val="center"/>
              <w:rPr/>
            </w:pPr>
            <w:r w:rsidDel="00000000" w:rsidR="00000000" w:rsidRPr="00000000">
              <w:rPr>
                <w:rtl w:val="0"/>
              </w:rPr>
              <w:t xml:space="preserve">19-50</w:t>
            </w:r>
          </w:p>
        </w:tc>
        <w:tc>
          <w:tcPr>
            <w:tcBorders>
              <w:top w:color="000000" w:space="0" w:sz="12" w:val="single"/>
              <w:bottom w:color="000000" w:space="0" w:sz="4" w:val="single"/>
            </w:tcBorders>
            <w:shd w:fill="auto" w:val="clear"/>
            <w:vAlign w:val="center"/>
          </w:tcPr>
          <w:p w:rsidR="00000000" w:rsidDel="00000000" w:rsidP="00000000" w:rsidRDefault="00000000" w:rsidRPr="00000000" w14:paraId="00000015">
            <w:pPr>
              <w:jc w:val="center"/>
              <w:rPr/>
            </w:pPr>
            <w:r w:rsidDel="00000000" w:rsidR="00000000" w:rsidRPr="00000000">
              <w:rPr>
                <w:rtl w:val="0"/>
              </w:rPr>
              <w:t xml:space="preserve">3.0-4.0</w:t>
            </w:r>
          </w:p>
        </w:tc>
        <w:tc>
          <w:tcPr>
            <w:tcBorders>
              <w:top w:color="000000" w:space="0" w:sz="12" w:val="single"/>
              <w:bottom w:color="000000" w:space="0" w:sz="4" w:val="single"/>
            </w:tcBorders>
            <w:shd w:fill="auto" w:val="clear"/>
            <w:vAlign w:val="center"/>
          </w:tcPr>
          <w:p w:rsidR="00000000" w:rsidDel="00000000" w:rsidP="00000000" w:rsidRDefault="00000000" w:rsidRPr="00000000" w14:paraId="00000016">
            <w:pPr>
              <w:jc w:val="center"/>
              <w:rPr/>
            </w:pPr>
            <w:r w:rsidDel="00000000" w:rsidR="00000000" w:rsidRPr="00000000">
              <w:rPr>
                <w:rtl w:val="0"/>
              </w:rPr>
              <w:t xml:space="preserve">19-21</w:t>
            </w:r>
          </w:p>
        </w:tc>
        <w:tc>
          <w:tcPr>
            <w:tcBorders>
              <w:top w:color="000000" w:space="0" w:sz="12" w:val="single"/>
            </w:tcBorders>
            <w:shd w:fill="auto" w:val="clear"/>
            <w:vAlign w:val="center"/>
          </w:tcPr>
          <w:p w:rsidR="00000000" w:rsidDel="00000000" w:rsidP="00000000" w:rsidRDefault="00000000" w:rsidRPr="00000000" w14:paraId="00000017">
            <w:pPr>
              <w:jc w:val="center"/>
              <w:rPr/>
            </w:pPr>
            <w:r w:rsidDel="00000000" w:rsidR="00000000" w:rsidRPr="00000000">
              <w:rPr>
                <w:rtl w:val="0"/>
              </w:rPr>
              <w:t xml:space="preserve">35-36</w:t>
            </w:r>
          </w:p>
        </w:tc>
      </w:tr>
      <w:tr>
        <w:trPr>
          <w:cantSplit w:val="0"/>
          <w:tblHeader w:val="0"/>
        </w:trPr>
        <w:tc>
          <w:tcPr>
            <w:vAlign w:val="center"/>
          </w:tcPr>
          <w:p w:rsidR="00000000" w:rsidDel="00000000" w:rsidP="00000000" w:rsidRDefault="00000000" w:rsidRPr="00000000" w14:paraId="00000018">
            <w:pPr>
              <w:rPr/>
            </w:pPr>
            <w:r w:rsidDel="00000000" w:rsidR="00000000" w:rsidRPr="00000000">
              <w:rPr>
                <w:rtl w:val="0"/>
              </w:rPr>
              <w:t xml:space="preserve">Lange-Bertalot et al. 2017*</w:t>
            </w:r>
          </w:p>
        </w:tc>
        <w:tc>
          <w:tcPr>
            <w:tcBorders>
              <w:bottom w:color="000000" w:space="0" w:sz="4" w:val="single"/>
            </w:tcBorders>
            <w:shd w:fill="auto" w:val="clear"/>
            <w:vAlign w:val="center"/>
          </w:tcPr>
          <w:p w:rsidR="00000000" w:rsidDel="00000000" w:rsidP="00000000" w:rsidRDefault="00000000" w:rsidRPr="00000000" w14:paraId="00000019">
            <w:pPr>
              <w:jc w:val="center"/>
              <w:rPr/>
            </w:pPr>
            <w:r w:rsidDel="00000000" w:rsidR="00000000" w:rsidRPr="00000000">
              <w:rPr>
                <w:rtl w:val="0"/>
              </w:rPr>
              <w:t xml:space="preserve">16-65</w:t>
            </w:r>
          </w:p>
        </w:tc>
        <w:tc>
          <w:tcPr>
            <w:tcBorders>
              <w:bottom w:color="000000" w:space="0" w:sz="4" w:val="single"/>
            </w:tcBorders>
            <w:shd w:fill="auto" w:val="clear"/>
            <w:vAlign w:val="center"/>
          </w:tcPr>
          <w:p w:rsidR="00000000" w:rsidDel="00000000" w:rsidP="00000000" w:rsidRDefault="00000000" w:rsidRPr="00000000" w14:paraId="0000001A">
            <w:pPr>
              <w:jc w:val="center"/>
              <w:rPr/>
            </w:pPr>
            <w:r w:rsidDel="00000000" w:rsidR="00000000" w:rsidRPr="00000000">
              <w:rPr>
                <w:rtl w:val="0"/>
              </w:rPr>
              <w:t xml:space="preserve">3-5</w:t>
            </w:r>
          </w:p>
        </w:tc>
        <w:tc>
          <w:tcPr>
            <w:tcBorders>
              <w:bottom w:color="000000" w:space="0" w:sz="4" w:val="single"/>
            </w:tcBorders>
            <w:shd w:fill="auto" w:val="clear"/>
            <w:vAlign w:val="center"/>
          </w:tcPr>
          <w:p w:rsidR="00000000" w:rsidDel="00000000" w:rsidP="00000000" w:rsidRDefault="00000000" w:rsidRPr="00000000" w14:paraId="0000001B">
            <w:pPr>
              <w:jc w:val="center"/>
              <w:rPr/>
            </w:pPr>
            <w:r w:rsidDel="00000000" w:rsidR="00000000" w:rsidRPr="00000000">
              <w:rPr>
                <w:rtl w:val="0"/>
              </w:rPr>
              <w:t xml:space="preserve">15-22</w:t>
            </w:r>
          </w:p>
        </w:tc>
        <w:tc>
          <w:tcPr>
            <w:shd w:fill="auto" w:val="clear"/>
            <w:vAlign w:val="center"/>
          </w:tcPr>
          <w:p w:rsidR="00000000" w:rsidDel="00000000" w:rsidP="00000000" w:rsidRDefault="00000000" w:rsidRPr="00000000" w14:paraId="0000001C">
            <w:pPr>
              <w:jc w:val="center"/>
              <w:rPr/>
            </w:pPr>
            <w:r w:rsidDel="00000000" w:rsidR="00000000" w:rsidRPr="00000000">
              <w:rPr>
                <w:rtl w:val="0"/>
              </w:rPr>
              <w:t xml:space="preserve">32-35</w:t>
            </w:r>
          </w:p>
        </w:tc>
      </w:tr>
      <w:tr>
        <w:trPr>
          <w:cantSplit w:val="0"/>
          <w:tblHeader w:val="0"/>
        </w:trPr>
        <w:tc>
          <w:tcPr>
            <w:vAlign w:val="center"/>
          </w:tcPr>
          <w:p w:rsidR="00000000" w:rsidDel="00000000" w:rsidP="00000000" w:rsidRDefault="00000000" w:rsidRPr="00000000" w14:paraId="0000001D">
            <w:pPr>
              <w:rPr/>
            </w:pPr>
            <w:r w:rsidDel="00000000" w:rsidR="00000000" w:rsidRPr="00000000">
              <w:rPr>
                <w:rtl w:val="0"/>
              </w:rPr>
              <w:t xml:space="preserve">Lange-Bertalot et al. 2011*</w:t>
            </w:r>
          </w:p>
        </w:tc>
        <w:tc>
          <w:tcPr>
            <w:tcBorders>
              <w:top w:color="000000" w:space="0" w:sz="4" w:val="single"/>
            </w:tcBorders>
            <w:shd w:fill="auto" w:val="clear"/>
            <w:vAlign w:val="center"/>
          </w:tcPr>
          <w:p w:rsidR="00000000" w:rsidDel="00000000" w:rsidP="00000000" w:rsidRDefault="00000000" w:rsidRPr="00000000" w14:paraId="0000001E">
            <w:pPr>
              <w:jc w:val="center"/>
              <w:rPr/>
            </w:pPr>
            <w:r w:rsidDel="00000000" w:rsidR="00000000" w:rsidRPr="00000000">
              <w:rPr>
                <w:rtl w:val="0"/>
              </w:rPr>
              <w:t xml:space="preserve">16-90</w:t>
            </w:r>
          </w:p>
        </w:tc>
        <w:tc>
          <w:tcPr>
            <w:tcBorders>
              <w:top w:color="000000" w:space="0" w:sz="4" w:val="single"/>
            </w:tcBorders>
            <w:shd w:fill="auto" w:val="clear"/>
            <w:vAlign w:val="center"/>
          </w:tcPr>
          <w:p w:rsidR="00000000" w:rsidDel="00000000" w:rsidP="00000000" w:rsidRDefault="00000000" w:rsidRPr="00000000" w14:paraId="0000001F">
            <w:pPr>
              <w:jc w:val="center"/>
              <w:rPr/>
            </w:pPr>
            <w:r w:rsidDel="00000000" w:rsidR="00000000" w:rsidRPr="00000000">
              <w:rPr>
                <w:rtl w:val="0"/>
              </w:rPr>
              <w:t xml:space="preserve">3-5</w:t>
            </w:r>
          </w:p>
        </w:tc>
        <w:tc>
          <w:tcPr>
            <w:tcBorders>
              <w:top w:color="000000" w:space="0" w:sz="4" w:val="single"/>
            </w:tcBorders>
            <w:shd w:fill="auto" w:val="clear"/>
            <w:vAlign w:val="center"/>
          </w:tcPr>
          <w:p w:rsidR="00000000" w:rsidDel="00000000" w:rsidP="00000000" w:rsidRDefault="00000000" w:rsidRPr="00000000" w14:paraId="00000020">
            <w:pPr>
              <w:jc w:val="center"/>
              <w:rPr/>
            </w:pPr>
            <w:r w:rsidDel="00000000" w:rsidR="00000000" w:rsidRPr="00000000">
              <w:rPr>
                <w:rtl w:val="0"/>
              </w:rPr>
              <w:t xml:space="preserve">15-22</w:t>
            </w:r>
          </w:p>
        </w:tc>
        <w:tc>
          <w:tcPr>
            <w:shd w:fill="auto" w:val="clear"/>
            <w:vAlign w:val="center"/>
          </w:tcPr>
          <w:p w:rsidR="00000000" w:rsidDel="00000000" w:rsidP="00000000" w:rsidRDefault="00000000" w:rsidRPr="00000000" w14:paraId="00000021">
            <w:pPr>
              <w:jc w:val="center"/>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2">
            <w:pPr>
              <w:rPr/>
            </w:pPr>
            <w:r w:rsidDel="00000000" w:rsidR="00000000" w:rsidRPr="00000000">
              <w:rPr>
                <w:rtl w:val="0"/>
              </w:rPr>
              <w:t xml:space="preserve">Krammer &amp; Lange-Bertalot 1997-2004*</w:t>
            </w:r>
          </w:p>
        </w:tc>
        <w:tc>
          <w:tcPr>
            <w:shd w:fill="auto" w:val="clear"/>
            <w:vAlign w:val="center"/>
          </w:tcPr>
          <w:p w:rsidR="00000000" w:rsidDel="00000000" w:rsidP="00000000" w:rsidRDefault="00000000" w:rsidRPr="00000000" w14:paraId="00000023">
            <w:pPr>
              <w:jc w:val="center"/>
              <w:rPr/>
            </w:pPr>
            <w:r w:rsidDel="00000000" w:rsidR="00000000" w:rsidRPr="00000000">
              <w:rPr>
                <w:rtl w:val="0"/>
              </w:rPr>
              <w:t xml:space="preserve">15-60(90)</w:t>
            </w:r>
          </w:p>
        </w:tc>
        <w:tc>
          <w:tcPr>
            <w:shd w:fill="auto" w:val="clear"/>
            <w:vAlign w:val="center"/>
          </w:tcPr>
          <w:p w:rsidR="00000000" w:rsidDel="00000000" w:rsidP="00000000" w:rsidRDefault="00000000" w:rsidRPr="00000000" w14:paraId="00000024">
            <w:pPr>
              <w:jc w:val="center"/>
              <w:rPr/>
            </w:pPr>
            <w:r w:rsidDel="00000000" w:rsidR="00000000" w:rsidRPr="00000000">
              <w:rPr>
                <w:rtl w:val="0"/>
              </w:rPr>
              <w:t xml:space="preserve">(3)3,5-5</w:t>
            </w:r>
          </w:p>
        </w:tc>
        <w:tc>
          <w:tcPr>
            <w:shd w:fill="auto" w:val="clear"/>
            <w:vAlign w:val="center"/>
          </w:tcPr>
          <w:p w:rsidR="00000000" w:rsidDel="00000000" w:rsidP="00000000" w:rsidRDefault="00000000" w:rsidRPr="00000000" w14:paraId="00000025">
            <w:pPr>
              <w:jc w:val="center"/>
              <w:rPr/>
            </w:pPr>
            <w:r w:rsidDel="00000000" w:rsidR="00000000" w:rsidRPr="00000000">
              <w:rPr>
                <w:rtl w:val="0"/>
              </w:rPr>
              <w:t xml:space="preserve">15-22</w:t>
            </w:r>
          </w:p>
        </w:tc>
        <w:tc>
          <w:tcPr>
            <w:shd w:fill="auto" w:val="clear"/>
            <w:vAlign w:val="center"/>
          </w:tcPr>
          <w:p w:rsidR="00000000" w:rsidDel="00000000" w:rsidP="00000000" w:rsidRDefault="00000000" w:rsidRPr="00000000" w14:paraId="00000026">
            <w:pPr>
              <w:jc w:val="center"/>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7">
            <w:pPr>
              <w:rPr/>
            </w:pPr>
            <w:r w:rsidDel="00000000" w:rsidR="00000000" w:rsidRPr="00000000">
              <w:rPr>
                <w:rtl w:val="0"/>
              </w:rPr>
            </w:r>
          </w:p>
        </w:tc>
        <w:tc>
          <w:tcPr>
            <w:shd w:fill="auto" w:val="clear"/>
            <w:vAlign w:val="center"/>
          </w:tcPr>
          <w:p w:rsidR="00000000" w:rsidDel="00000000" w:rsidP="00000000" w:rsidRDefault="00000000" w:rsidRPr="00000000" w14:paraId="00000028">
            <w:pPr>
              <w:jc w:val="center"/>
              <w:rPr/>
            </w:pPr>
            <w:r w:rsidDel="00000000" w:rsidR="00000000" w:rsidRPr="00000000">
              <w:rPr>
                <w:rtl w:val="0"/>
              </w:rPr>
            </w:r>
          </w:p>
        </w:tc>
        <w:tc>
          <w:tcPr>
            <w:shd w:fill="auto" w:val="clear"/>
            <w:vAlign w:val="center"/>
          </w:tcPr>
          <w:p w:rsidR="00000000" w:rsidDel="00000000" w:rsidP="00000000" w:rsidRDefault="00000000" w:rsidRPr="00000000" w14:paraId="00000029">
            <w:pPr>
              <w:jc w:val="center"/>
              <w:rPr/>
            </w:pPr>
            <w:r w:rsidDel="00000000" w:rsidR="00000000" w:rsidRPr="00000000">
              <w:rPr>
                <w:rtl w:val="0"/>
              </w:rPr>
            </w:r>
          </w:p>
        </w:tc>
        <w:tc>
          <w:tcPr>
            <w:shd w:fill="auto" w:val="clear"/>
            <w:vAlign w:val="center"/>
          </w:tcPr>
          <w:p w:rsidR="00000000" w:rsidDel="00000000" w:rsidP="00000000" w:rsidRDefault="00000000" w:rsidRPr="00000000" w14:paraId="0000002A">
            <w:pPr>
              <w:jc w:val="center"/>
              <w:rPr/>
            </w:pPr>
            <w:r w:rsidDel="00000000" w:rsidR="00000000" w:rsidRPr="00000000">
              <w:rPr>
                <w:rtl w:val="0"/>
              </w:rPr>
            </w:r>
          </w:p>
        </w:tc>
        <w:tc>
          <w:tcPr>
            <w:shd w:fill="auto" w:val="clear"/>
            <w:vAlign w:val="center"/>
          </w:tcPr>
          <w:p w:rsidR="00000000" w:rsidDel="00000000" w:rsidP="00000000" w:rsidRDefault="00000000" w:rsidRPr="00000000" w14:paraId="0000002B">
            <w:pPr>
              <w:jc w:val="center"/>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C">
            <w:pPr>
              <w:rPr/>
            </w:pPr>
            <w:r w:rsidDel="00000000" w:rsidR="00000000" w:rsidRPr="00000000">
              <w:rPr>
                <w:rtl w:val="0"/>
              </w:rPr>
              <w:t xml:space="preserve">*As </w:t>
            </w:r>
            <w:r w:rsidDel="00000000" w:rsidR="00000000" w:rsidRPr="00000000">
              <w:rPr>
                <w:i w:val="1"/>
                <w:rtl w:val="0"/>
              </w:rPr>
              <w:t xml:space="preserve">E. fennica</w:t>
            </w:r>
            <w:r w:rsidDel="00000000" w:rsidR="00000000" w:rsidRPr="00000000">
              <w:rPr>
                <w:rtl w:val="0"/>
              </w:rPr>
            </w:r>
          </w:p>
        </w:tc>
        <w:tc>
          <w:tcPr>
            <w:shd w:fill="auto" w:val="clear"/>
            <w:vAlign w:val="center"/>
          </w:tcPr>
          <w:p w:rsidR="00000000" w:rsidDel="00000000" w:rsidP="00000000" w:rsidRDefault="00000000" w:rsidRPr="00000000" w14:paraId="0000002D">
            <w:pPr>
              <w:jc w:val="center"/>
              <w:rPr/>
            </w:pPr>
            <w:r w:rsidDel="00000000" w:rsidR="00000000" w:rsidRPr="00000000">
              <w:rPr>
                <w:rtl w:val="0"/>
              </w:rPr>
            </w:r>
          </w:p>
        </w:tc>
        <w:tc>
          <w:tcPr>
            <w:shd w:fill="auto" w:val="clear"/>
            <w:vAlign w:val="center"/>
          </w:tcPr>
          <w:p w:rsidR="00000000" w:rsidDel="00000000" w:rsidP="00000000" w:rsidRDefault="00000000" w:rsidRPr="00000000" w14:paraId="0000002E">
            <w:pPr>
              <w:jc w:val="center"/>
              <w:rPr/>
            </w:pPr>
            <w:r w:rsidDel="00000000" w:rsidR="00000000" w:rsidRPr="00000000">
              <w:rPr>
                <w:rtl w:val="0"/>
              </w:rPr>
            </w:r>
          </w:p>
        </w:tc>
        <w:tc>
          <w:tcPr>
            <w:shd w:fill="auto" w:val="clear"/>
            <w:vAlign w:val="center"/>
          </w:tcPr>
          <w:p w:rsidR="00000000" w:rsidDel="00000000" w:rsidP="00000000" w:rsidRDefault="00000000" w:rsidRPr="00000000" w14:paraId="0000002F">
            <w:pPr>
              <w:jc w:val="center"/>
              <w:rPr/>
            </w:pPr>
            <w:r w:rsidDel="00000000" w:rsidR="00000000" w:rsidRPr="00000000">
              <w:rPr>
                <w:rtl w:val="0"/>
              </w:rPr>
            </w:r>
          </w:p>
        </w:tc>
        <w:tc>
          <w:tcPr>
            <w:shd w:fill="auto" w:val="clear"/>
            <w:vAlign w:val="center"/>
          </w:tcPr>
          <w:p w:rsidR="00000000" w:rsidDel="00000000" w:rsidP="00000000" w:rsidRDefault="00000000" w:rsidRPr="00000000" w14:paraId="00000030">
            <w:pPr>
              <w:jc w:val="center"/>
              <w:rPr/>
            </w:pPr>
            <w:r w:rsidDel="00000000" w:rsidR="00000000" w:rsidRPr="00000000">
              <w:rPr>
                <w:rtl w:val="0"/>
              </w:rPr>
            </w:r>
          </w:p>
        </w:tc>
      </w:tr>
    </w:tbl>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b w:val="1"/>
          <w:i w:val="1"/>
          <w:rtl w:val="0"/>
        </w:rPr>
        <w:t xml:space="preserve">Related species</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33">
      <w:pPr>
        <w:rPr/>
      </w:pPr>
      <w:r w:rsidDel="00000000" w:rsidR="00000000" w:rsidRPr="00000000">
        <w:rPr>
          <w:i w:val="1"/>
          <w:rtl w:val="0"/>
        </w:rPr>
        <w:t xml:space="preserve">Eunotia denticulata </w:t>
      </w:r>
      <w:r w:rsidDel="00000000" w:rsidR="00000000" w:rsidRPr="00000000">
        <w:rPr>
          <w:rtl w:val="0"/>
        </w:rPr>
        <w:t xml:space="preserve">s.s. (Brébisson ex Kützing) Rabenhorst 1864 (broader, less striae/10 µm, longer spines); </w:t>
      </w:r>
      <w:r w:rsidDel="00000000" w:rsidR="00000000" w:rsidRPr="00000000">
        <w:rPr>
          <w:i w:val="1"/>
          <w:rtl w:val="0"/>
        </w:rPr>
        <w:t xml:space="preserve">E. neoborealis</w:t>
      </w:r>
      <w:r w:rsidDel="00000000" w:rsidR="00000000" w:rsidRPr="00000000">
        <w:rPr>
          <w:rtl w:val="0"/>
        </w:rPr>
        <w:t xml:space="preserve"> Lange-Bertalot</w:t>
      </w:r>
      <w:r w:rsidDel="00000000" w:rsidR="00000000" w:rsidRPr="00000000">
        <w:rPr>
          <w:i w:val="1"/>
          <w:rtl w:val="0"/>
        </w:rPr>
        <w:t xml:space="preserve"> </w:t>
      </w:r>
      <w:r w:rsidDel="00000000" w:rsidR="00000000" w:rsidRPr="00000000">
        <w:rPr>
          <w:rtl w:val="0"/>
        </w:rPr>
        <w:t xml:space="preserve">(longer dorsal spines, broader on average (4-6.5 µm); </w:t>
      </w:r>
      <w:r w:rsidDel="00000000" w:rsidR="00000000" w:rsidRPr="00000000">
        <w:rPr>
          <w:i w:val="1"/>
          <w:rtl w:val="0"/>
        </w:rPr>
        <w:t xml:space="preserve">E. superpaludosa</w:t>
      </w:r>
      <w:r w:rsidDel="00000000" w:rsidR="00000000" w:rsidRPr="00000000">
        <w:rPr>
          <w:rtl w:val="0"/>
        </w:rPr>
        <w:t xml:space="preserve"> Lange-Bertalot</w:t>
      </w:r>
      <w:r w:rsidDel="00000000" w:rsidR="00000000" w:rsidRPr="00000000">
        <w:rPr>
          <w:i w:val="1"/>
          <w:rtl w:val="0"/>
        </w:rPr>
        <w:t xml:space="preserve"> </w:t>
      </w:r>
      <w:r w:rsidDel="00000000" w:rsidR="00000000" w:rsidRPr="00000000">
        <w:rPr>
          <w:rtl w:val="0"/>
        </w:rPr>
        <w:t xml:space="preserve">(dorsal margin less convex, spines lacking); </w:t>
      </w:r>
      <w:r w:rsidDel="00000000" w:rsidR="00000000" w:rsidRPr="00000000">
        <w:rPr>
          <w:i w:val="1"/>
          <w:rtl w:val="0"/>
        </w:rPr>
        <w:t xml:space="preserve">E. neocompacta</w:t>
      </w:r>
      <w:r w:rsidDel="00000000" w:rsidR="00000000" w:rsidRPr="00000000">
        <w:rPr>
          <w:rtl w:val="0"/>
        </w:rPr>
        <w:t xml:space="preserve"> var. </w:t>
      </w:r>
      <w:r w:rsidDel="00000000" w:rsidR="00000000" w:rsidRPr="00000000">
        <w:rPr>
          <w:i w:val="1"/>
          <w:rtl w:val="0"/>
        </w:rPr>
        <w:t xml:space="preserve">vixcompacta</w:t>
      </w:r>
      <w:r w:rsidDel="00000000" w:rsidR="00000000" w:rsidRPr="00000000">
        <w:rPr>
          <w:rtl w:val="0"/>
        </w:rPr>
        <w:t xml:space="preserve"> Lange-Bertalot (no spines)</w:t>
      </w:r>
    </w:p>
    <w:p w:rsidR="00000000" w:rsidDel="00000000" w:rsidP="00000000" w:rsidRDefault="00000000" w:rsidRPr="00000000" w14:paraId="00000034">
      <w:pPr>
        <w:jc w:val="both"/>
        <w:rPr>
          <w:b w:val="1"/>
          <w:i w:val="1"/>
        </w:rPr>
      </w:pPr>
      <w:r w:rsidDel="00000000" w:rsidR="00000000" w:rsidRPr="00000000">
        <w:rPr>
          <w:rtl w:val="0"/>
        </w:rPr>
      </w:r>
    </w:p>
    <w:p w:rsidR="00000000" w:rsidDel="00000000" w:rsidP="00000000" w:rsidRDefault="00000000" w:rsidRPr="00000000" w14:paraId="00000035">
      <w:pPr>
        <w:jc w:val="both"/>
        <w:rPr>
          <w:b w:val="1"/>
          <w:i w:val="1"/>
        </w:rPr>
      </w:pPr>
      <w:r w:rsidDel="00000000" w:rsidR="00000000" w:rsidRPr="00000000">
        <w:rPr>
          <w:b w:val="1"/>
          <w:i w:val="1"/>
          <w:rtl w:val="0"/>
        </w:rPr>
        <w:t xml:space="preserve">Distribution</w:t>
      </w:r>
    </w:p>
    <w:p w:rsidR="00000000" w:rsidDel="00000000" w:rsidP="00000000" w:rsidRDefault="00000000" w:rsidRPr="00000000" w14:paraId="00000036">
      <w:pPr>
        <w:spacing w:after="120" w:lineRule="auto"/>
        <w:jc w:val="both"/>
        <w:rPr/>
      </w:pPr>
      <w:r w:rsidDel="00000000" w:rsidR="00000000" w:rsidRPr="00000000">
        <w:rPr>
          <w:rtl w:val="0"/>
        </w:rPr>
        <w:t xml:space="preserve">Scattered to moderately frequent in Central Europe. Langeveen, Poort II (NL).</w:t>
      </w:r>
    </w:p>
    <w:p w:rsidR="00000000" w:rsidDel="00000000" w:rsidP="00000000" w:rsidRDefault="00000000" w:rsidRPr="00000000" w14:paraId="00000037">
      <w:pPr>
        <w:rPr>
          <w:b w:val="1"/>
          <w:i w:val="1"/>
        </w:rPr>
      </w:pPr>
      <w:r w:rsidDel="00000000" w:rsidR="00000000" w:rsidRPr="00000000">
        <w:rPr>
          <w:b w:val="1"/>
          <w:i w:val="1"/>
          <w:rtl w:val="0"/>
        </w:rPr>
        <w:t xml:space="preserve">Ecology</w:t>
      </w:r>
    </w:p>
    <w:p w:rsidR="00000000" w:rsidDel="00000000" w:rsidP="00000000" w:rsidRDefault="00000000" w:rsidRPr="00000000" w14:paraId="00000038">
      <w:pPr>
        <w:rPr/>
      </w:pPr>
      <w:r w:rsidDel="00000000" w:rsidR="00000000" w:rsidRPr="00000000">
        <w:rPr>
          <w:rtl w:val="0"/>
        </w:rPr>
        <w:t xml:space="preserve">Undisturbed ombrotrophic peat bogs or dystrophic lakes with </w:t>
      </w:r>
      <w:r w:rsidDel="00000000" w:rsidR="00000000" w:rsidRPr="00000000">
        <w:rPr>
          <w:i w:val="1"/>
          <w:rtl w:val="0"/>
        </w:rPr>
        <w:t xml:space="preserve">Sphagnum</w:t>
      </w:r>
      <w:r w:rsidDel="00000000" w:rsidR="00000000" w:rsidRPr="00000000">
        <w:rPr>
          <w:rtl w:val="0"/>
        </w:rPr>
        <w:t xml:space="preserve">-association on the shores.</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spacing w:after="120" w:lineRule="auto"/>
        <w:rPr/>
      </w:pPr>
      <w:r w:rsidDel="00000000" w:rsidR="00000000" w:rsidRPr="00000000">
        <w:rPr>
          <w:b w:val="1"/>
          <w:i w:val="1"/>
          <w:rtl w:val="0"/>
        </w:rPr>
        <w:t xml:space="preserve">Ecological values</w:t>
      </w:r>
      <w:r w:rsidDel="00000000" w:rsidR="00000000" w:rsidRPr="00000000">
        <w:rPr>
          <w:rtl w:val="0"/>
        </w:rPr>
      </w:r>
    </w:p>
    <w:p w:rsidR="00000000" w:rsidDel="00000000" w:rsidP="00000000" w:rsidRDefault="00000000" w:rsidRPr="00000000" w14:paraId="0000003B">
      <w:pPr>
        <w:ind w:firstLine="2694"/>
        <w:rPr>
          <w:sz w:val="20"/>
          <w:szCs w:val="20"/>
        </w:rPr>
      </w:pPr>
      <w:r w:rsidDel="00000000" w:rsidR="00000000" w:rsidRPr="00000000">
        <w:rPr>
          <w:color w:val="000000"/>
          <w:sz w:val="20"/>
          <w:szCs w:val="20"/>
          <w:rtl w:val="0"/>
        </w:rPr>
        <w:t xml:space="preserve">Indicator values (</w:t>
      </w:r>
      <w:r w:rsidDel="00000000" w:rsidR="00000000" w:rsidRPr="00000000">
        <w:rPr>
          <w:sz w:val="20"/>
          <w:szCs w:val="20"/>
          <w:rtl w:val="0"/>
        </w:rPr>
        <w:t xml:space="preserve">Mertens</w:t>
      </w:r>
      <w:r w:rsidDel="00000000" w:rsidR="00000000" w:rsidRPr="00000000">
        <w:rPr>
          <w:color w:val="000000"/>
          <w:sz w:val="20"/>
          <w:szCs w:val="20"/>
          <w:rtl w:val="0"/>
        </w:rPr>
        <w:t xml:space="preserve"> et al. </w:t>
      </w:r>
      <w:r w:rsidDel="00000000" w:rsidR="00000000" w:rsidRPr="00000000">
        <w:rPr>
          <w:sz w:val="20"/>
          <w:szCs w:val="20"/>
          <w:rtl w:val="0"/>
        </w:rPr>
        <w:t xml:space="preserve">2025</w:t>
      </w:r>
      <w:r w:rsidDel="00000000" w:rsidR="00000000" w:rsidRPr="00000000">
        <w:rPr>
          <w:color w:val="000000"/>
          <w:sz w:val="20"/>
          <w:szCs w:val="20"/>
          <w:rtl w:val="0"/>
        </w:rPr>
        <w:t xml:space="preserve">)</w:t>
      </w:r>
      <w:r w:rsidDel="00000000" w:rsidR="00000000" w:rsidRPr="00000000">
        <w:rPr>
          <w:rtl w:val="0"/>
        </w:rPr>
      </w:r>
    </w:p>
    <w:tbl>
      <w:tblPr>
        <w:tblStyle w:val="Table2"/>
        <w:tblW w:w="5957.0" w:type="dxa"/>
        <w:jc w:val="left"/>
        <w:tblInd w:w="13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1"/>
        <w:gridCol w:w="851"/>
        <w:gridCol w:w="851"/>
        <w:gridCol w:w="851"/>
        <w:gridCol w:w="851"/>
        <w:gridCol w:w="851"/>
        <w:gridCol w:w="851"/>
        <w:tblGridChange w:id="0">
          <w:tblGrid>
            <w:gridCol w:w="851"/>
            <w:gridCol w:w="851"/>
            <w:gridCol w:w="851"/>
            <w:gridCol w:w="851"/>
            <w:gridCol w:w="851"/>
            <w:gridCol w:w="851"/>
            <w:gridCol w:w="851"/>
          </w:tblGrid>
        </w:tblGridChange>
      </w:tblGrid>
      <w:tr>
        <w:trPr>
          <w:cantSplit w:val="0"/>
          <w:tblHeader w:val="0"/>
        </w:trPr>
        <w:tc>
          <w:tcPr/>
          <w:p w:rsidR="00000000" w:rsidDel="00000000" w:rsidP="00000000" w:rsidRDefault="00000000" w:rsidRPr="00000000" w14:paraId="0000003C">
            <w:pPr>
              <w:jc w:val="center"/>
              <w:rPr>
                <w:b w:val="1"/>
                <w:sz w:val="20"/>
                <w:szCs w:val="20"/>
              </w:rPr>
            </w:pPr>
            <w:r w:rsidDel="00000000" w:rsidR="00000000" w:rsidRPr="00000000">
              <w:rPr>
                <w:b w:val="1"/>
                <w:sz w:val="20"/>
                <w:szCs w:val="20"/>
                <w:rtl w:val="0"/>
              </w:rPr>
              <w:t xml:space="preserve">R</w:t>
            </w:r>
          </w:p>
        </w:tc>
        <w:tc>
          <w:tcPr/>
          <w:p w:rsidR="00000000" w:rsidDel="00000000" w:rsidP="00000000" w:rsidRDefault="00000000" w:rsidRPr="00000000" w14:paraId="0000003D">
            <w:pPr>
              <w:jc w:val="center"/>
              <w:rPr>
                <w:b w:val="1"/>
                <w:sz w:val="20"/>
                <w:szCs w:val="20"/>
              </w:rPr>
            </w:pPr>
            <w:r w:rsidDel="00000000" w:rsidR="00000000" w:rsidRPr="00000000">
              <w:rPr>
                <w:b w:val="1"/>
                <w:sz w:val="20"/>
                <w:szCs w:val="20"/>
                <w:rtl w:val="0"/>
              </w:rPr>
              <w:t xml:space="preserve">H</w:t>
            </w:r>
          </w:p>
        </w:tc>
        <w:tc>
          <w:tcPr/>
          <w:p w:rsidR="00000000" w:rsidDel="00000000" w:rsidP="00000000" w:rsidRDefault="00000000" w:rsidRPr="00000000" w14:paraId="0000003E">
            <w:pPr>
              <w:jc w:val="center"/>
              <w:rPr>
                <w:b w:val="1"/>
                <w:sz w:val="20"/>
                <w:szCs w:val="20"/>
              </w:rPr>
            </w:pPr>
            <w:r w:rsidDel="00000000" w:rsidR="00000000" w:rsidRPr="00000000">
              <w:rPr>
                <w:b w:val="1"/>
                <w:sz w:val="20"/>
                <w:szCs w:val="20"/>
                <w:rtl w:val="0"/>
              </w:rPr>
              <w:t xml:space="preserve">N</w:t>
            </w:r>
          </w:p>
        </w:tc>
        <w:tc>
          <w:tcPr/>
          <w:p w:rsidR="00000000" w:rsidDel="00000000" w:rsidP="00000000" w:rsidRDefault="00000000" w:rsidRPr="00000000" w14:paraId="0000003F">
            <w:pPr>
              <w:jc w:val="center"/>
              <w:rPr>
                <w:b w:val="1"/>
                <w:sz w:val="20"/>
                <w:szCs w:val="20"/>
              </w:rPr>
            </w:pPr>
            <w:r w:rsidDel="00000000" w:rsidR="00000000" w:rsidRPr="00000000">
              <w:rPr>
                <w:b w:val="1"/>
                <w:sz w:val="20"/>
                <w:szCs w:val="20"/>
                <w:rtl w:val="0"/>
              </w:rPr>
              <w:t xml:space="preserve">O</w:t>
            </w:r>
          </w:p>
        </w:tc>
        <w:tc>
          <w:tcPr/>
          <w:p w:rsidR="00000000" w:rsidDel="00000000" w:rsidP="00000000" w:rsidRDefault="00000000" w:rsidRPr="00000000" w14:paraId="00000040">
            <w:pPr>
              <w:jc w:val="center"/>
              <w:rPr>
                <w:b w:val="1"/>
                <w:sz w:val="20"/>
                <w:szCs w:val="20"/>
              </w:rPr>
            </w:pPr>
            <w:r w:rsidDel="00000000" w:rsidR="00000000" w:rsidRPr="00000000">
              <w:rPr>
                <w:b w:val="1"/>
                <w:sz w:val="20"/>
                <w:szCs w:val="20"/>
                <w:rtl w:val="0"/>
              </w:rPr>
              <w:t xml:space="preserve">S</w:t>
            </w:r>
          </w:p>
        </w:tc>
        <w:tc>
          <w:tcPr/>
          <w:p w:rsidR="00000000" w:rsidDel="00000000" w:rsidP="00000000" w:rsidRDefault="00000000" w:rsidRPr="00000000" w14:paraId="00000041">
            <w:pPr>
              <w:jc w:val="center"/>
              <w:rPr>
                <w:b w:val="1"/>
                <w:sz w:val="20"/>
                <w:szCs w:val="20"/>
              </w:rPr>
            </w:pPr>
            <w:r w:rsidDel="00000000" w:rsidR="00000000" w:rsidRPr="00000000">
              <w:rPr>
                <w:b w:val="1"/>
                <w:sz w:val="20"/>
                <w:szCs w:val="20"/>
                <w:rtl w:val="0"/>
              </w:rPr>
              <w:t xml:space="preserve">T</w:t>
            </w:r>
          </w:p>
        </w:tc>
        <w:tc>
          <w:tcPr/>
          <w:p w:rsidR="00000000" w:rsidDel="00000000" w:rsidP="00000000" w:rsidRDefault="00000000" w:rsidRPr="00000000" w14:paraId="00000042">
            <w:pPr>
              <w:jc w:val="center"/>
              <w:rPr>
                <w:b w:val="1"/>
                <w:sz w:val="20"/>
                <w:szCs w:val="20"/>
              </w:rPr>
            </w:pPr>
            <w:r w:rsidDel="00000000" w:rsidR="00000000" w:rsidRPr="00000000">
              <w:rPr>
                <w:b w:val="1"/>
                <w:sz w:val="20"/>
                <w:szCs w:val="20"/>
                <w:rtl w:val="0"/>
              </w:rPr>
              <w:t xml:space="preserve">M</w:t>
            </w:r>
          </w:p>
        </w:tc>
      </w:tr>
      <w:tr>
        <w:trPr>
          <w:cantSplit w:val="0"/>
          <w:tblHeader w:val="0"/>
        </w:trPr>
        <w:tc>
          <w:tcPr/>
          <w:p w:rsidR="00000000" w:rsidDel="00000000" w:rsidP="00000000" w:rsidRDefault="00000000" w:rsidRPr="00000000" w14:paraId="00000043">
            <w:pPr>
              <w:spacing w:after="60" w:before="60" w:lineRule="auto"/>
              <w:jc w:val="center"/>
              <w:rPr>
                <w:sz w:val="20"/>
                <w:szCs w:val="20"/>
              </w:rPr>
            </w:pPr>
            <w:r w:rsidDel="00000000" w:rsidR="00000000" w:rsidRPr="00000000">
              <w:rPr>
                <w:sz w:val="20"/>
                <w:szCs w:val="20"/>
                <w:rtl w:val="0"/>
              </w:rPr>
              <w:t xml:space="preserve">2</w:t>
            </w:r>
          </w:p>
        </w:tc>
        <w:tc>
          <w:tcPr/>
          <w:p w:rsidR="00000000" w:rsidDel="00000000" w:rsidP="00000000" w:rsidRDefault="00000000" w:rsidRPr="00000000" w14:paraId="00000044">
            <w:pPr>
              <w:spacing w:after="60" w:before="60" w:lineRule="auto"/>
              <w:jc w:val="center"/>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045">
            <w:pPr>
              <w:spacing w:after="60" w:before="60" w:lineRule="auto"/>
              <w:jc w:val="center"/>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046">
            <w:pPr>
              <w:spacing w:after="60" w:before="60" w:lineRule="auto"/>
              <w:jc w:val="center"/>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047">
            <w:pPr>
              <w:spacing w:after="60" w:before="60" w:lineRule="auto"/>
              <w:jc w:val="center"/>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048">
            <w:pPr>
              <w:spacing w:after="60" w:before="60" w:lineRule="auto"/>
              <w:jc w:val="center"/>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049">
            <w:pPr>
              <w:spacing w:after="60" w:before="60" w:lineRule="auto"/>
              <w:jc w:val="center"/>
              <w:rPr>
                <w:sz w:val="20"/>
                <w:szCs w:val="20"/>
              </w:rPr>
            </w:pPr>
            <w:r w:rsidDel="00000000" w:rsidR="00000000" w:rsidRPr="00000000">
              <w:rPr>
                <w:sz w:val="20"/>
                <w:szCs w:val="20"/>
                <w:rtl w:val="0"/>
              </w:rPr>
              <w:t xml:space="preserve">4</w:t>
            </w:r>
          </w:p>
        </w:tc>
      </w:tr>
    </w:tbl>
    <w:p w:rsidR="00000000" w:rsidDel="00000000" w:rsidP="00000000" w:rsidRDefault="00000000" w:rsidRPr="00000000" w14:paraId="0000004A">
      <w:pPr>
        <w:spacing w:after="120" w:lineRule="auto"/>
        <w:rPr>
          <w:b w:val="1"/>
          <w:sz w:val="20"/>
          <w:szCs w:val="20"/>
        </w:rPr>
      </w:pPr>
      <w:r w:rsidDel="00000000" w:rsidR="00000000" w:rsidRPr="00000000">
        <w:rPr>
          <w:rtl w:val="0"/>
        </w:rPr>
      </w:r>
    </w:p>
    <w:p w:rsidR="00000000" w:rsidDel="00000000" w:rsidP="00000000" w:rsidRDefault="00000000" w:rsidRPr="00000000" w14:paraId="0000004B">
      <w:pPr>
        <w:spacing w:after="120" w:lineRule="auto"/>
        <w:rPr>
          <w:b w:val="1"/>
          <w:sz w:val="20"/>
          <w:szCs w:val="20"/>
        </w:rPr>
      </w:pPr>
      <w:r w:rsidDel="00000000" w:rsidR="00000000" w:rsidRPr="00000000">
        <w:rPr>
          <w:rtl w:val="0"/>
        </w:rPr>
      </w:r>
    </w:p>
    <w:p w:rsidR="00000000" w:rsidDel="00000000" w:rsidP="00000000" w:rsidRDefault="00000000" w:rsidRPr="00000000" w14:paraId="0000004C">
      <w:pPr>
        <w:spacing w:after="120" w:lineRule="auto"/>
        <w:rPr>
          <w:b w:val="1"/>
          <w:sz w:val="20"/>
          <w:szCs w:val="20"/>
        </w:rPr>
      </w:pPr>
      <w:r w:rsidDel="00000000" w:rsidR="00000000" w:rsidRPr="00000000">
        <w:rPr>
          <w:rtl w:val="0"/>
        </w:rPr>
      </w:r>
    </w:p>
    <w:p w:rsidR="00000000" w:rsidDel="00000000" w:rsidP="00000000" w:rsidRDefault="00000000" w:rsidRPr="00000000" w14:paraId="0000004D">
      <w:pPr>
        <w:ind w:left="142" w:right="-1055" w:hanging="284"/>
        <w:rPr>
          <w:color w:val="000000"/>
          <w:sz w:val="20"/>
          <w:szCs w:val="20"/>
        </w:rPr>
      </w:pPr>
      <w:r w:rsidDel="00000000" w:rsidR="00000000" w:rsidRPr="00000000">
        <w:rPr>
          <w:b w:val="1"/>
          <w:sz w:val="20"/>
          <w:szCs w:val="20"/>
          <w:rtl w:val="0"/>
        </w:rPr>
        <w:tab/>
        <w:tab/>
        <w:t xml:space="preserve">       </w:t>
      </w:r>
      <w:r w:rsidDel="00000000" w:rsidR="00000000" w:rsidRPr="00000000">
        <w:rPr>
          <w:color w:val="000000"/>
          <w:sz w:val="20"/>
          <w:szCs w:val="20"/>
          <w:rtl w:val="0"/>
        </w:rPr>
        <w:t xml:space="preserve">IPS</w:t>
      </w:r>
      <w:r w:rsidDel="00000000" w:rsidR="00000000" w:rsidRPr="00000000">
        <w:rPr>
          <w:b w:val="1"/>
          <w:sz w:val="20"/>
          <w:szCs w:val="20"/>
          <w:rtl w:val="0"/>
        </w:rPr>
        <w:tab/>
        <w:tab/>
        <w:tab/>
        <w:tab/>
      </w:r>
      <w:r w:rsidDel="00000000" w:rsidR="00000000" w:rsidRPr="00000000">
        <w:rPr>
          <w:color w:val="000000"/>
          <w:sz w:val="20"/>
          <w:szCs w:val="20"/>
          <w:rtl w:val="0"/>
        </w:rPr>
        <w:t xml:space="preserve">          </w:t>
      </w:r>
      <w:r w:rsidDel="00000000" w:rsidR="00000000" w:rsidRPr="00000000">
        <w:rPr>
          <w:b w:val="1"/>
          <w:sz w:val="20"/>
          <w:szCs w:val="20"/>
          <w:rtl w:val="0"/>
        </w:rPr>
        <w:tab/>
        <w:tab/>
        <w:t xml:space="preserve">      </w:t>
        <w:tab/>
        <w:tab/>
        <w:tab/>
        <w:t xml:space="preserve">      </w:t>
      </w:r>
      <w:r w:rsidDel="00000000" w:rsidR="00000000" w:rsidRPr="00000000">
        <w:rPr>
          <w:color w:val="000000"/>
          <w:sz w:val="20"/>
          <w:szCs w:val="20"/>
          <w:rtl w:val="0"/>
        </w:rPr>
        <w:t xml:space="preserve">TDI</w:t>
      </w:r>
    </w:p>
    <w:p w:rsidR="00000000" w:rsidDel="00000000" w:rsidP="00000000" w:rsidRDefault="00000000" w:rsidRPr="00000000" w14:paraId="0000004E">
      <w:pPr>
        <w:ind w:left="142" w:right="-1055" w:hanging="284"/>
        <w:rPr>
          <w:b w:val="1"/>
          <w:sz w:val="20"/>
          <w:szCs w:val="20"/>
        </w:rPr>
      </w:pPr>
      <w:r w:rsidDel="00000000" w:rsidR="00000000" w:rsidRPr="00000000">
        <w:rPr>
          <w:b w:val="1"/>
          <w:sz w:val="20"/>
          <w:szCs w:val="20"/>
          <w:rtl w:val="0"/>
        </w:rPr>
        <w:tab/>
        <w:t xml:space="preserve">        </w:t>
      </w:r>
      <w:r w:rsidDel="00000000" w:rsidR="00000000" w:rsidRPr="00000000">
        <w:rPr>
          <w:color w:val="000000"/>
          <w:sz w:val="20"/>
          <w:szCs w:val="20"/>
          <w:rtl w:val="0"/>
        </w:rPr>
        <w:t xml:space="preserve">(Cemagref 1982)</w:t>
        <w:tab/>
        <w:tab/>
        <w:tab/>
        <w:t xml:space="preserve">Rott et al.1997, 1999</w:t>
        <w:tab/>
        <w:tab/>
        <w:t xml:space="preserve">      (Kelly &amp; Whitton 1995)</w:t>
      </w:r>
      <w:r w:rsidDel="00000000" w:rsidR="00000000" w:rsidRPr="00000000">
        <w:rPr>
          <w:rtl w:val="0"/>
        </w:rPr>
      </w:r>
    </w:p>
    <w:tbl>
      <w:tblPr>
        <w:tblStyle w:val="Table3"/>
        <w:tblW w:w="8106.0"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1"/>
        <w:gridCol w:w="851"/>
        <w:gridCol w:w="424"/>
        <w:gridCol w:w="993"/>
        <w:gridCol w:w="993"/>
        <w:gridCol w:w="992"/>
        <w:gridCol w:w="992"/>
        <w:gridCol w:w="425"/>
        <w:gridCol w:w="735"/>
        <w:gridCol w:w="850"/>
        <w:tblGridChange w:id="0">
          <w:tblGrid>
            <w:gridCol w:w="851"/>
            <w:gridCol w:w="851"/>
            <w:gridCol w:w="424"/>
            <w:gridCol w:w="993"/>
            <w:gridCol w:w="993"/>
            <w:gridCol w:w="992"/>
            <w:gridCol w:w="992"/>
            <w:gridCol w:w="425"/>
            <w:gridCol w:w="735"/>
            <w:gridCol w:w="85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4F">
            <w:pPr>
              <w:rPr>
                <w:b w:val="1"/>
                <w:sz w:val="20"/>
                <w:szCs w:val="20"/>
              </w:rPr>
            </w:pPr>
            <w:r w:rsidDel="00000000" w:rsidR="00000000" w:rsidRPr="00000000">
              <w:rPr>
                <w:b w:val="1"/>
                <w:color w:val="000000"/>
                <w:sz w:val="20"/>
                <w:szCs w:val="20"/>
                <w:rtl w:val="0"/>
              </w:rPr>
              <w:t xml:space="preserve">IPS-S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50">
            <w:pPr>
              <w:rPr>
                <w:b w:val="1"/>
                <w:sz w:val="20"/>
                <w:szCs w:val="20"/>
              </w:rPr>
            </w:pPr>
            <w:r w:rsidDel="00000000" w:rsidR="00000000" w:rsidRPr="00000000">
              <w:rPr>
                <w:b w:val="1"/>
                <w:color w:val="000000"/>
                <w:sz w:val="20"/>
                <w:szCs w:val="20"/>
                <w:rtl w:val="0"/>
              </w:rPr>
              <w:t xml:space="preserve">IPS-V</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51">
            <w:pPr>
              <w:rPr>
                <w:b w:val="1"/>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rPr>
                <w:b w:val="1"/>
                <w:color w:val="000000"/>
                <w:sz w:val="20"/>
                <w:szCs w:val="20"/>
              </w:rPr>
            </w:pPr>
            <w:r w:rsidDel="00000000" w:rsidR="00000000" w:rsidRPr="00000000">
              <w:rPr>
                <w:b w:val="1"/>
                <w:color w:val="000000"/>
                <w:sz w:val="20"/>
                <w:szCs w:val="20"/>
                <w:rtl w:val="0"/>
              </w:rPr>
              <w:t xml:space="preserve">Rott SI 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rPr>
                <w:b w:val="1"/>
                <w:color w:val="000000"/>
                <w:sz w:val="20"/>
                <w:szCs w:val="20"/>
              </w:rPr>
            </w:pPr>
            <w:r w:rsidDel="00000000" w:rsidR="00000000" w:rsidRPr="00000000">
              <w:rPr>
                <w:b w:val="1"/>
                <w:color w:val="000000"/>
                <w:sz w:val="20"/>
                <w:szCs w:val="20"/>
                <w:rtl w:val="0"/>
              </w:rPr>
              <w:t xml:space="preserve">Rott SI v</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rPr>
                <w:b w:val="1"/>
                <w:color w:val="000000"/>
                <w:sz w:val="20"/>
                <w:szCs w:val="20"/>
              </w:rPr>
            </w:pPr>
            <w:r w:rsidDel="00000000" w:rsidR="00000000" w:rsidRPr="00000000">
              <w:rPr>
                <w:b w:val="1"/>
                <w:color w:val="000000"/>
                <w:sz w:val="20"/>
                <w:szCs w:val="20"/>
                <w:rtl w:val="0"/>
              </w:rPr>
              <w:t xml:space="preserve">Rott TI 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rPr>
                <w:b w:val="1"/>
                <w:color w:val="000000"/>
                <w:sz w:val="20"/>
                <w:szCs w:val="20"/>
              </w:rPr>
            </w:pPr>
            <w:r w:rsidDel="00000000" w:rsidR="00000000" w:rsidRPr="00000000">
              <w:rPr>
                <w:b w:val="1"/>
                <w:color w:val="000000"/>
                <w:sz w:val="20"/>
                <w:szCs w:val="20"/>
                <w:rtl w:val="0"/>
              </w:rPr>
              <w:t xml:space="preserve">Rott TI v</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56">
            <w:pPr>
              <w:rPr>
                <w:b w:val="1"/>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57">
            <w:pPr>
              <w:jc w:val="center"/>
              <w:rPr>
                <w:b w:val="1"/>
                <w:color w:val="000000"/>
                <w:sz w:val="20"/>
                <w:szCs w:val="20"/>
              </w:rPr>
            </w:pPr>
            <w:r w:rsidDel="00000000" w:rsidR="00000000" w:rsidRPr="00000000">
              <w:rPr>
                <w:b w:val="1"/>
                <w:color w:val="000000"/>
                <w:sz w:val="20"/>
                <w:szCs w:val="20"/>
                <w:rtl w:val="0"/>
              </w:rPr>
              <w:t xml:space="preserve">TI-S</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58">
            <w:pPr>
              <w:jc w:val="center"/>
              <w:rPr>
                <w:b w:val="1"/>
                <w:color w:val="000000"/>
                <w:sz w:val="20"/>
                <w:szCs w:val="20"/>
              </w:rPr>
            </w:pPr>
            <w:r w:rsidDel="00000000" w:rsidR="00000000" w:rsidRPr="00000000">
              <w:rPr>
                <w:b w:val="1"/>
                <w:color w:val="000000"/>
                <w:sz w:val="20"/>
                <w:szCs w:val="20"/>
                <w:rtl w:val="0"/>
              </w:rPr>
              <w:t xml:space="preserve">TI-V</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spacing w:after="60" w:before="60" w:lineRule="auto"/>
              <w:jc w:val="center"/>
              <w:rPr>
                <w:sz w:val="20"/>
                <w:szCs w:val="20"/>
              </w:rPr>
            </w:pPr>
            <w:r w:rsidDel="00000000" w:rsidR="00000000" w:rsidRPr="00000000">
              <w:rPr>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spacing w:after="60" w:before="60" w:lineRule="auto"/>
              <w:jc w:val="center"/>
              <w:rPr>
                <w:sz w:val="20"/>
                <w:szCs w:val="20"/>
              </w:rPr>
            </w:pPr>
            <w:r w:rsidDel="00000000" w:rsidR="00000000" w:rsidRPr="00000000">
              <w:rPr>
                <w:sz w:val="20"/>
                <w:szCs w:val="20"/>
                <w:rtl w:val="0"/>
              </w:rPr>
              <w:t xml:space="preserve">2</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5B">
            <w:pPr>
              <w:spacing w:after="60" w:before="60" w:lineRule="auto"/>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spacing w:after="60" w:before="60" w:lineRule="auto"/>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spacing w:after="60" w:before="60" w:lineRule="auto"/>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spacing w:after="60" w:before="60" w:lineRule="auto"/>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spacing w:after="60" w:before="60" w:lineRule="auto"/>
              <w:jc w:val="center"/>
              <w:rPr>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60">
            <w:pPr>
              <w:spacing w:after="60" w:before="60" w:lineRule="auto"/>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spacing w:after="60" w:before="60" w:lineRule="auto"/>
              <w:jc w:val="cente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spacing w:after="60" w:before="60" w:lineRule="auto"/>
              <w:jc w:val="center"/>
              <w:rPr>
                <w:sz w:val="20"/>
                <w:szCs w:val="20"/>
              </w:rPr>
            </w:pPr>
            <w:r w:rsidDel="00000000" w:rsidR="00000000" w:rsidRPr="00000000">
              <w:rPr>
                <w:rtl w:val="0"/>
              </w:rPr>
            </w:r>
          </w:p>
        </w:tc>
      </w:tr>
    </w:tbl>
    <w:p w:rsidR="00000000" w:rsidDel="00000000" w:rsidP="00000000" w:rsidRDefault="00000000" w:rsidRPr="00000000" w14:paraId="00000063">
      <w:pPr>
        <w:ind w:firstLine="1843"/>
        <w:rPr>
          <w:color w:val="000000"/>
          <w:sz w:val="20"/>
          <w:szCs w:val="20"/>
        </w:rPr>
      </w:pPr>
      <w:r w:rsidDel="00000000" w:rsidR="00000000" w:rsidRPr="00000000">
        <w:rPr>
          <w:rtl w:val="0"/>
        </w:rPr>
      </w:r>
    </w:p>
    <w:p w:rsidR="00000000" w:rsidDel="00000000" w:rsidP="00000000" w:rsidRDefault="00000000" w:rsidRPr="00000000" w14:paraId="00000064">
      <w:pPr>
        <w:ind w:firstLine="1843"/>
        <w:rPr>
          <w:color w:val="000000"/>
          <w:sz w:val="20"/>
          <w:szCs w:val="20"/>
        </w:rPr>
      </w:pPr>
      <w:r w:rsidDel="00000000" w:rsidR="00000000" w:rsidRPr="00000000">
        <w:rPr>
          <w:rtl w:val="0"/>
        </w:rPr>
      </w:r>
    </w:p>
    <w:p w:rsidR="00000000" w:rsidDel="00000000" w:rsidP="00000000" w:rsidRDefault="00000000" w:rsidRPr="00000000" w14:paraId="00000065">
      <w:pPr>
        <w:spacing w:after="120" w:lineRule="auto"/>
        <w:rPr>
          <w:b w:val="1"/>
          <w:sz w:val="20"/>
          <w:szCs w:val="20"/>
        </w:rPr>
      </w:pPr>
      <w:r w:rsidDel="00000000" w:rsidR="00000000" w:rsidRPr="00000000">
        <w:rPr>
          <w:rtl w:val="0"/>
        </w:rPr>
      </w:r>
    </w:p>
    <w:p w:rsidR="00000000" w:rsidDel="00000000" w:rsidP="00000000" w:rsidRDefault="00000000" w:rsidRPr="00000000" w14:paraId="00000066">
      <w:pPr>
        <w:spacing w:after="120" w:lineRule="auto"/>
        <w:rPr>
          <w:b w:val="1"/>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-126999</wp:posOffset>
                </wp:positionH>
                <wp:positionV relativeFrom="paragraph">
                  <wp:posOffset>-76199</wp:posOffset>
                </wp:positionV>
                <wp:extent cx="5610225" cy="1438275"/>
                <wp:effectExtent b="0" l="0" r="0" t="0"/>
                <wp:wrapSquare wrapText="bothSides" distB="0" distT="0" distL="114300" distR="114300"/>
                <wp:docPr id="7" name=""/>
                <a:graphic>
                  <a:graphicData uri="http://schemas.microsoft.com/office/word/2010/wordprocessingShape">
                    <wps:wsp>
                      <wps:cNvSpPr/>
                      <wps:cNvPr id="2" name="Shape 2"/>
                      <wps:spPr>
                        <a:xfrm>
                          <a:off x="2545650" y="3065625"/>
                          <a:ext cx="5600700" cy="1428750"/>
                        </a:xfrm>
                        <a:prstGeom prst="rect">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t xml:space="preserve">Remarks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u w:val="single"/>
                                <w:vertAlign w:val="baseline"/>
                              </w:rPr>
                              <w:t xml:space="preserve">Foto’s en metingen gedaan in</w:t>
                            </w:r>
                            <w:r w:rsidDel="00000000" w:rsidR="00000000" w:rsidRPr="00000000">
                              <w:rPr>
                                <w:rFonts w:ascii="Calibri" w:cs="Calibri" w:eastAsia="Calibri" w:hAnsi="Calibri"/>
                                <w:b w:val="0"/>
                                <w:i w:val="0"/>
                                <w:smallCaps w:val="0"/>
                                <w:strike w:val="0"/>
                                <w:color w:val="000000"/>
                                <w:sz w:val="24"/>
                                <w:vertAlign w:val="baseline"/>
                              </w:rPr>
                              <w:t xml:space="pre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Preparaat D17020-81, Poort II, Boswachterij Dwingeloo. Monsterdatum 8 mei 2017</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-126999</wp:posOffset>
                </wp:positionH>
                <wp:positionV relativeFrom="paragraph">
                  <wp:posOffset>-76199</wp:posOffset>
                </wp:positionV>
                <wp:extent cx="5610225" cy="1438275"/>
                <wp:effectExtent b="0" l="0" r="0" t="0"/>
                <wp:wrapSquare wrapText="bothSides" distB="0" distT="0" distL="114300" distR="114300"/>
                <wp:docPr id="7"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610225" cy="1438275"/>
                        </a:xfrm>
                        <a:prstGeom prst="rect"/>
                        <a:ln/>
                      </pic:spPr>
                    </pic:pic>
                  </a:graphicData>
                </a:graphic>
              </wp:anchor>
            </w:drawing>
          </mc:Fallback>
        </mc:AlternateContent>
      </w:r>
    </w:p>
    <w:p w:rsidR="00000000" w:rsidDel="00000000" w:rsidP="00000000" w:rsidRDefault="00000000" w:rsidRPr="00000000" w14:paraId="00000067">
      <w:pPr>
        <w:rPr/>
      </w:pPr>
      <w:r w:rsidDel="00000000" w:rsidR="00000000" w:rsidRPr="00000000">
        <w:rPr/>
        <w:drawing>
          <wp:inline distB="0" distT="0" distL="0" distR="0">
            <wp:extent cx="5270500" cy="5270500"/>
            <wp:effectExtent b="0" l="0" r="0" t="0"/>
            <wp:docPr id="8"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5270500" cy="5270500"/>
                    </a:xfrm>
                    <a:prstGeom prst="rect"/>
                    <a:ln/>
                  </pic:spPr>
                </pic:pic>
              </a:graphicData>
            </a:graphic>
          </wp:inline>
        </w:drawing>
      </w:r>
      <w:r w:rsidDel="00000000" w:rsidR="00000000" w:rsidRPr="00000000">
        <w:rPr>
          <w:rtl w:val="0"/>
        </w:rPr>
      </w:r>
    </w:p>
    <w:p w:rsidR="00000000" w:rsidDel="00000000" w:rsidP="00000000" w:rsidRDefault="00000000" w:rsidRPr="00000000" w14:paraId="00000068">
      <w:pPr>
        <w:rPr>
          <w:b w:val="1"/>
          <w:i w:val="1"/>
        </w:rPr>
      </w:pPr>
      <w:r w:rsidDel="00000000" w:rsidR="00000000" w:rsidRPr="00000000">
        <w:rPr>
          <w:b w:val="1"/>
          <w:i w:val="1"/>
          <w:rtl w:val="0"/>
        </w:rPr>
        <w:t xml:space="preserve">References:</w:t>
      </w:r>
    </w:p>
    <w:p w:rsidR="00000000" w:rsidDel="00000000" w:rsidP="00000000" w:rsidRDefault="00000000" w:rsidRPr="00000000" w14:paraId="00000069">
      <w:pPr>
        <w:ind w:left="426" w:hanging="426"/>
        <w:rPr/>
      </w:pPr>
      <w:r w:rsidDel="00000000" w:rsidR="00000000" w:rsidRPr="00000000">
        <w:rPr>
          <w:rtl w:val="0"/>
        </w:rPr>
        <w:t xml:space="preserve">Krammer, K. &amp; H. Lange-Bertalot (1997-2004) Bacillariophyceae. Süßwasserflora von Mitteleuropa 2/1-4.</w:t>
      </w:r>
    </w:p>
    <w:p w:rsidR="00000000" w:rsidDel="00000000" w:rsidP="00000000" w:rsidRDefault="00000000" w:rsidRPr="00000000" w14:paraId="0000006A">
      <w:pPr>
        <w:ind w:left="426" w:hanging="426"/>
        <w:rPr/>
      </w:pPr>
      <w:r w:rsidDel="00000000" w:rsidR="00000000" w:rsidRPr="00000000">
        <w:rPr>
          <w:rtl w:val="0"/>
        </w:rPr>
        <w:t xml:space="preserve">Lange-Bertalot, H., M. Bak &amp; A. Witkowski (2011) </w:t>
      </w:r>
      <w:r w:rsidDel="00000000" w:rsidR="00000000" w:rsidRPr="00000000">
        <w:rPr>
          <w:i w:val="1"/>
          <w:rtl w:val="0"/>
        </w:rPr>
        <w:t xml:space="preserve">Eunotia</w:t>
      </w:r>
      <w:r w:rsidDel="00000000" w:rsidR="00000000" w:rsidRPr="00000000">
        <w:rPr>
          <w:rtl w:val="0"/>
        </w:rPr>
        <w:t xml:space="preserve"> and some related genera. Diatoms of Europe: 6. </w:t>
      </w:r>
    </w:p>
    <w:p w:rsidR="00000000" w:rsidDel="00000000" w:rsidP="00000000" w:rsidRDefault="00000000" w:rsidRPr="00000000" w14:paraId="0000006B">
      <w:pPr>
        <w:ind w:left="426" w:hanging="426"/>
        <w:rPr/>
      </w:pPr>
      <w:r w:rsidDel="00000000" w:rsidR="00000000" w:rsidRPr="00000000">
        <w:rPr>
          <w:rtl w:val="0"/>
        </w:rPr>
        <w:t xml:space="preserve">Lange-Bertalot, H., G. Hofmann, M. Werum &amp; M. Cantonati (2017) Freshwater Benthic Diatoms of Central Europe.</w:t>
      </w:r>
    </w:p>
    <w:p w:rsidR="00000000" w:rsidDel="00000000" w:rsidP="00000000" w:rsidRDefault="00000000" w:rsidRPr="00000000" w14:paraId="0000006C">
      <w:pPr>
        <w:ind w:left="426" w:hanging="426"/>
        <w:rPr/>
      </w:pPr>
      <w:bookmarkStart w:colFirst="0" w:colLast="0" w:name="_heading=h.30j0zll" w:id="1"/>
      <w:bookmarkEnd w:id="1"/>
      <w:r w:rsidDel="00000000" w:rsidR="00000000" w:rsidRPr="00000000">
        <w:rPr>
          <w:rtl w:val="0"/>
        </w:rPr>
        <w:t xml:space="preserve">Van de Vijver, B., H. Lange-Bertalot, C. Goeyers, A. Mertens, T.M. Schuster &amp; L. Ector† (2022) The identity of </w:t>
      </w:r>
      <w:r w:rsidDel="00000000" w:rsidR="00000000" w:rsidRPr="00000000">
        <w:rPr>
          <w:i w:val="1"/>
          <w:rtl w:val="0"/>
        </w:rPr>
        <w:t xml:space="preserve">Eunotia paludosa</w:t>
      </w:r>
      <w:r w:rsidDel="00000000" w:rsidR="00000000" w:rsidRPr="00000000">
        <w:rPr>
          <w:rtl w:val="0"/>
        </w:rPr>
        <w:t xml:space="preserve"> Grunow 1862 (Eunotiaceae, Bacillariophyta), a revision, and the description of three new species of </w:t>
      </w:r>
      <w:r w:rsidDel="00000000" w:rsidR="00000000" w:rsidRPr="00000000">
        <w:rPr>
          <w:i w:val="1"/>
          <w:rtl w:val="0"/>
        </w:rPr>
        <w:t xml:space="preserve">Eunotia</w:t>
      </w:r>
      <w:r w:rsidDel="00000000" w:rsidR="00000000" w:rsidRPr="00000000">
        <w:rPr>
          <w:rtl w:val="0"/>
        </w:rPr>
        <w:t xml:space="preserve"> Ehrenberg.</w:t>
      </w:r>
    </w:p>
    <w:p w:rsidR="00000000" w:rsidDel="00000000" w:rsidP="00000000" w:rsidRDefault="00000000" w:rsidRPr="00000000" w14:paraId="0000006D">
      <w:pPr>
        <w:rPr>
          <w:b w:val="1"/>
        </w:rPr>
      </w:pPr>
      <w:r w:rsidDel="00000000" w:rsidR="00000000" w:rsidRPr="00000000">
        <w:rPr>
          <w:rtl w:val="0"/>
        </w:rPr>
      </w:r>
    </w:p>
    <w:p w:rsidR="00000000" w:rsidDel="00000000" w:rsidP="00000000" w:rsidRDefault="00000000" w:rsidRPr="00000000" w14:paraId="0000006E">
      <w:pPr>
        <w:rPr>
          <w:b w:val="1"/>
          <w:i w:val="1"/>
        </w:rPr>
      </w:pPr>
      <w:r w:rsidDel="00000000" w:rsidR="00000000" w:rsidRPr="00000000">
        <w:rPr>
          <w:b w:val="1"/>
          <w:i w:val="1"/>
          <w:rtl w:val="0"/>
        </w:rPr>
        <w:t xml:space="preserve">Citation:</w:t>
      </w:r>
    </w:p>
    <w:p w:rsidR="00000000" w:rsidDel="00000000" w:rsidP="00000000" w:rsidRDefault="00000000" w:rsidRPr="00000000" w14:paraId="0000006F">
      <w:pPr>
        <w:tabs>
          <w:tab w:val="left" w:leader="none" w:pos="8222"/>
        </w:tabs>
        <w:rPr/>
      </w:pPr>
      <w:r w:rsidDel="00000000" w:rsidR="00000000" w:rsidRPr="00000000">
        <w:rPr>
          <w:rtl w:val="0"/>
        </w:rPr>
        <w:t xml:space="preserve">G.L. Verweij &amp; A. Mertens, 2025, </w:t>
      </w:r>
      <w:r w:rsidDel="00000000" w:rsidR="00000000" w:rsidRPr="00000000">
        <w:rPr>
          <w:i w:val="1"/>
          <w:rtl w:val="0"/>
        </w:rPr>
        <w:t xml:space="preserve">Eunotia paludosa</w:t>
      </w:r>
      <w:r w:rsidDel="00000000" w:rsidR="00000000" w:rsidRPr="00000000">
        <w:rPr>
          <w:rtl w:val="0"/>
        </w:rPr>
        <w:t xml:space="preserve">. In Diatom Flora of the Low Countries. NVKD. Retrieved from </w:t>
      </w:r>
      <w:hyperlink r:id="rId9">
        <w:r w:rsidDel="00000000" w:rsidR="00000000" w:rsidRPr="00000000">
          <w:rPr>
            <w:color w:val="0000ff"/>
            <w:u w:val="single"/>
            <w:rtl w:val="0"/>
          </w:rPr>
          <w:t xml:space="preserve">http://www.nvkd-diatom.nl/species</w:t>
        </w:r>
      </w:hyperlink>
      <w:r w:rsidDel="00000000" w:rsidR="00000000" w:rsidRPr="00000000">
        <w:rPr>
          <w:rtl w:val="0"/>
        </w:rPr>
      </w:r>
    </w:p>
    <w:sectPr>
      <w:headerReference r:id="rId10" w:type="default"/>
      <w:footerReference r:id="rId11" w:type="default"/>
      <w:pgSz w:h="16840" w:w="11900" w:orient="portrait"/>
      <w:pgMar w:bottom="284" w:top="709"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keepNext w:val="0"/>
      <w:keepLines w:val="0"/>
      <w:pageBreakBefore w:val="0"/>
      <w:widowControl w:val="1"/>
      <w:pBdr>
        <w:top w:color="622423" w:space="1" w:sz="24" w:val="single"/>
        <w:left w:space="0" w:sz="0" w:val="nil"/>
        <w:bottom w:space="0" w:sz="0" w:val="nil"/>
        <w:right w:space="0" w:sz="0" w:val="nil"/>
        <w:between w:space="0" w:sz="0" w:val="nil"/>
      </w:pBdr>
      <w:shd w:fill="auto" w:val="clear"/>
      <w:tabs>
        <w:tab w:val="center" w:leader="none" w:pos="4513"/>
        <w:tab w:val="right" w:leader="none" w:pos="9026"/>
        <w:tab w:val="center" w:leader="none" w:pos="3969"/>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Eunotia paludosa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sz w:val="20"/>
        <w:szCs w:val="20"/>
        <w:rtl w:val="0"/>
      </w:rPr>
      <w:t xml:space="preserve">28</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w:t>
    </w:r>
    <w:r w:rsidDel="00000000" w:rsidR="00000000" w:rsidRPr="00000000">
      <w:rPr>
        <w:sz w:val="20"/>
        <w:szCs w:val="20"/>
        <w:rtl w:val="0"/>
      </w:rPr>
      <w:t xml:space="preserve">2</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sz w:val="20"/>
        <w:szCs w:val="20"/>
        <w:rtl w:val="0"/>
      </w:rPr>
      <w:t xml:space="preserve">2025</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©G.L.Verweij &amp; A. Mertens</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keepNext w:val="0"/>
      <w:keepLines w:val="0"/>
      <w:pageBreakBefore w:val="0"/>
      <w:widowControl w:val="1"/>
      <w:pBdr>
        <w:top w:space="0" w:sz="0" w:val="nil"/>
        <w:left w:space="0" w:sz="0" w:val="nil"/>
        <w:bottom w:color="622423" w:space="1" w:sz="24" w:val="single"/>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mbria" w:cs="Cambria" w:eastAsia="Cambria" w:hAnsi="Cambria"/>
        <w:b w:val="0"/>
        <w:i w:val="0"/>
        <w:smallCaps w:val="0"/>
        <w:strike w:val="0"/>
        <w:color w:val="000000"/>
        <w:sz w:val="32"/>
        <w:szCs w:val="32"/>
        <w:u w:val="none"/>
        <w:shd w:fill="auto" w:val="clear"/>
        <w:vertAlign w:val="baseline"/>
      </w:rPr>
    </w:pPr>
    <w:r w:rsidDel="00000000" w:rsidR="00000000" w:rsidRPr="00000000">
      <w:rPr>
        <w:rFonts w:ascii="Cambria" w:cs="Cambria" w:eastAsia="Cambria" w:hAnsi="Cambria"/>
        <w:b w:val="0"/>
        <w:i w:val="0"/>
        <w:smallCaps w:val="0"/>
        <w:strike w:val="0"/>
        <w:color w:val="000000"/>
        <w:sz w:val="32"/>
        <w:szCs w:val="32"/>
        <w:u w:val="none"/>
        <w:shd w:fill="auto" w:val="clear"/>
        <w:vertAlign w:val="baseline"/>
        <w:rtl w:val="0"/>
      </w:rPr>
      <w:t xml:space="preserve">Diatom Flora of the Low Countries</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qFormat w:val="1"/>
    <w:rsid w:val="00ED16DA"/>
    <w:pPr>
      <w:spacing w:after="0" w:line="240" w:lineRule="auto"/>
    </w:pPr>
    <w:rPr>
      <w:rFonts w:eastAsiaTheme="minorEastAsia"/>
      <w:sz w:val="24"/>
      <w:szCs w:val="24"/>
      <w:lang w:val="nl-NL"/>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table" w:styleId="Tabelraster">
    <w:name w:val="Table Grid"/>
    <w:basedOn w:val="Standaardtabel"/>
    <w:uiPriority w:val="59"/>
    <w:rsid w:val="00ED16D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Koptekst">
    <w:name w:val="header"/>
    <w:basedOn w:val="Standaard"/>
    <w:link w:val="KoptekstChar"/>
    <w:uiPriority w:val="99"/>
    <w:unhideWhenUsed w:val="1"/>
    <w:rsid w:val="00596DDD"/>
    <w:pPr>
      <w:tabs>
        <w:tab w:val="center" w:pos="4513"/>
        <w:tab w:val="right" w:pos="9026"/>
      </w:tabs>
    </w:pPr>
  </w:style>
  <w:style w:type="character" w:styleId="KoptekstChar" w:customStyle="1">
    <w:name w:val="Koptekst Char"/>
    <w:basedOn w:val="Standaardalinea-lettertype"/>
    <w:link w:val="Koptekst"/>
    <w:uiPriority w:val="99"/>
    <w:rsid w:val="00596DDD"/>
    <w:rPr>
      <w:rFonts w:eastAsiaTheme="minorEastAsia"/>
      <w:sz w:val="24"/>
      <w:szCs w:val="24"/>
      <w:lang w:val="nl-NL"/>
    </w:rPr>
  </w:style>
  <w:style w:type="paragraph" w:styleId="Voettekst">
    <w:name w:val="footer"/>
    <w:basedOn w:val="Standaard"/>
    <w:link w:val="VoettekstChar"/>
    <w:uiPriority w:val="99"/>
    <w:unhideWhenUsed w:val="1"/>
    <w:rsid w:val="00596DDD"/>
    <w:pPr>
      <w:tabs>
        <w:tab w:val="center" w:pos="4513"/>
        <w:tab w:val="right" w:pos="9026"/>
      </w:tabs>
    </w:pPr>
  </w:style>
  <w:style w:type="character" w:styleId="VoettekstChar" w:customStyle="1">
    <w:name w:val="Voettekst Char"/>
    <w:basedOn w:val="Standaardalinea-lettertype"/>
    <w:link w:val="Voettekst"/>
    <w:uiPriority w:val="99"/>
    <w:rsid w:val="00596DDD"/>
    <w:rPr>
      <w:rFonts w:eastAsiaTheme="minorEastAsia"/>
      <w:sz w:val="24"/>
      <w:szCs w:val="24"/>
      <w:lang w:val="nl-NL"/>
    </w:rPr>
  </w:style>
  <w:style w:type="paragraph" w:styleId="Ballontekst">
    <w:name w:val="Balloon Text"/>
    <w:basedOn w:val="Standaard"/>
    <w:link w:val="BallontekstChar"/>
    <w:uiPriority w:val="99"/>
    <w:semiHidden w:val="1"/>
    <w:unhideWhenUsed w:val="1"/>
    <w:rsid w:val="00596DDD"/>
    <w:rPr>
      <w:rFonts w:ascii="Tahoma" w:cs="Tahoma" w:hAnsi="Tahoma"/>
      <w:sz w:val="16"/>
      <w:szCs w:val="16"/>
    </w:rPr>
  </w:style>
  <w:style w:type="character" w:styleId="BallontekstChar" w:customStyle="1">
    <w:name w:val="Ballontekst Char"/>
    <w:basedOn w:val="Standaardalinea-lettertype"/>
    <w:link w:val="Ballontekst"/>
    <w:uiPriority w:val="99"/>
    <w:semiHidden w:val="1"/>
    <w:rsid w:val="00596DDD"/>
    <w:rPr>
      <w:rFonts w:ascii="Tahoma" w:cs="Tahoma" w:hAnsi="Tahoma" w:eastAsiaTheme="minorEastAsia"/>
      <w:sz w:val="16"/>
      <w:szCs w:val="16"/>
      <w:lang w:val="nl-NL"/>
    </w:rPr>
  </w:style>
  <w:style w:type="character" w:styleId="Verwijzingopmerking">
    <w:name w:val="annotation reference"/>
    <w:basedOn w:val="Standaardalinea-lettertype"/>
    <w:uiPriority w:val="99"/>
    <w:semiHidden w:val="1"/>
    <w:unhideWhenUsed w:val="1"/>
    <w:rsid w:val="00DD4481"/>
    <w:rPr>
      <w:sz w:val="16"/>
      <w:szCs w:val="16"/>
    </w:rPr>
  </w:style>
  <w:style w:type="paragraph" w:styleId="Tekstopmerking">
    <w:name w:val="annotation text"/>
    <w:basedOn w:val="Standaard"/>
    <w:link w:val="TekstopmerkingChar"/>
    <w:uiPriority w:val="99"/>
    <w:semiHidden w:val="1"/>
    <w:unhideWhenUsed w:val="1"/>
    <w:rsid w:val="00DD4481"/>
    <w:rPr>
      <w:sz w:val="20"/>
      <w:szCs w:val="20"/>
    </w:rPr>
  </w:style>
  <w:style w:type="character" w:styleId="TekstopmerkingChar" w:customStyle="1">
    <w:name w:val="Tekst opmerking Char"/>
    <w:basedOn w:val="Standaardalinea-lettertype"/>
    <w:link w:val="Tekstopmerking"/>
    <w:uiPriority w:val="99"/>
    <w:semiHidden w:val="1"/>
    <w:rsid w:val="00DD4481"/>
    <w:rPr>
      <w:rFonts w:eastAsiaTheme="minorEastAsia"/>
      <w:sz w:val="20"/>
      <w:szCs w:val="20"/>
      <w:lang w:val="nl-NL"/>
    </w:rPr>
  </w:style>
  <w:style w:type="paragraph" w:styleId="Onderwerpvanopmerking">
    <w:name w:val="annotation subject"/>
    <w:basedOn w:val="Tekstopmerking"/>
    <w:next w:val="Tekstopmerking"/>
    <w:link w:val="OnderwerpvanopmerkingChar"/>
    <w:uiPriority w:val="99"/>
    <w:semiHidden w:val="1"/>
    <w:unhideWhenUsed w:val="1"/>
    <w:rsid w:val="00DD4481"/>
    <w:rPr>
      <w:b w:val="1"/>
      <w:bCs w:val="1"/>
    </w:rPr>
  </w:style>
  <w:style w:type="character" w:styleId="OnderwerpvanopmerkingChar" w:customStyle="1">
    <w:name w:val="Onderwerp van opmerking Char"/>
    <w:basedOn w:val="TekstopmerkingChar"/>
    <w:link w:val="Onderwerpvanopmerking"/>
    <w:uiPriority w:val="99"/>
    <w:semiHidden w:val="1"/>
    <w:rsid w:val="00DD4481"/>
    <w:rPr>
      <w:rFonts w:eastAsiaTheme="minorEastAsia"/>
      <w:b w:val="1"/>
      <w:bCs w:val="1"/>
      <w:sz w:val="20"/>
      <w:szCs w:val="20"/>
      <w:lang w:val="nl-NL"/>
    </w:rPr>
  </w:style>
  <w:style w:type="character" w:styleId="Hyperlink">
    <w:name w:val="Hyperlink"/>
    <w:basedOn w:val="Standaardalinea-lettertype"/>
    <w:uiPriority w:val="99"/>
    <w:unhideWhenUsed w:val="1"/>
    <w:rsid w:val="00E96AA4"/>
    <w:rPr>
      <w:color w:val="0000ff" w:themeColor="hyperlink"/>
      <w:u w:val="single"/>
    </w:rPr>
  </w:style>
  <w:style w:type="character" w:styleId="Nadruk">
    <w:name w:val="Emphasis"/>
    <w:basedOn w:val="Standaardalinea-lettertype"/>
    <w:uiPriority w:val="20"/>
    <w:qFormat w:val="1"/>
    <w:rsid w:val="00645414"/>
    <w:rPr>
      <w:i w:val="1"/>
      <w:iCs w:val="1"/>
    </w:rPr>
  </w:style>
  <w:style w:type="paragraph" w:styleId="Lijstalinea">
    <w:name w:val="List Paragraph"/>
    <w:basedOn w:val="Standaard"/>
    <w:uiPriority w:val="34"/>
    <w:qFormat w:val="1"/>
    <w:rsid w:val="007277AD"/>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www.nvkd-diatom.nl/speci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1bMTW7L+bkaMwC/oC46jHCvhbA==">CgMxLjAyCGguZ2pkZ3hzMgloLjMwajB6bGw4AHIhMTVEbVhXbXM5WDh0N1JhTVp5aWUwMlVPMmdvTy1HUUlH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2023-01-29T15:01:00Z</dcterms:created>
  <dc:creator>Bart Van de Vijver</dc:creator>
</cp:coreProperties>
</file>